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jc w:val="center"/>
        <w:ind w:left="3920" w:right="1120" w:hanging="2789"/>
        <w:spacing w:after="0" w:line="500" w:lineRule="auto"/>
        <w:tabs>
          <w:tab w:leader="none" w:pos="1323"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3600" w:right="940" w:hanging="2657"/>
        <w:spacing w:after="0" w:line="500" w:lineRule="auto"/>
        <w:tabs>
          <w:tab w:leader="none" w:pos="11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u w:val="single" w:color="auto"/>
          <w:color w:val="auto"/>
        </w:rPr>
        <w:t>000-56744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01-0741042</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586 Cobb Parkway S Suite 900 Marietta,GA30060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40" w:right="3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(650)228-0680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3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60" w:type="dxa"/>
            <w:vAlign w:val="bottom"/>
            <w:tcBorders>
              <w:top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SPST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 Markets</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5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0" w:gutter="0" w:footer="0" w:header="0"/>
          <w:type w:val="continuous"/>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aggregate market value of </w:t>
      </w:r>
      <w:r>
        <w:rPr>
          <w:rFonts w:ascii="Times New Roman" w:cs="Times New Roman" w:eastAsia="Times New Roman" w:hAnsi="Times New Roman"/>
          <w:sz w:val="18"/>
          <w:szCs w:val="18"/>
          <w:b w:val="1"/>
          <w:bCs w:val="1"/>
          <w:color w:val="auto"/>
        </w:rPr>
        <w:t>35,410,706</w:t>
      </w:r>
      <w:r>
        <w:rPr>
          <w:rFonts w:ascii="Times New Roman" w:cs="Times New Roman" w:eastAsia="Times New Roman" w:hAnsi="Times New Roman"/>
          <w:sz w:val="18"/>
          <w:szCs w:val="18"/>
          <w:color w:val="auto"/>
        </w:rPr>
        <w:t xml:space="preserve"> shares of the registrant’s common stock held by non-affiliates on June 30, 2025 was $3,186,963.54.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March 30, 2026, there were </w:t>
      </w:r>
      <w:r>
        <w:rPr>
          <w:rFonts w:ascii="Times New Roman" w:cs="Times New Roman" w:eastAsia="Times New Roman" w:hAnsi="Times New Roman"/>
          <w:sz w:val="18"/>
          <w:szCs w:val="18"/>
          <w:b w:val="1"/>
          <w:bCs w:val="1"/>
          <w:color w:val="auto"/>
        </w:rPr>
        <w:t>182,289,904</w:t>
      </w:r>
      <w:r>
        <w:rPr>
          <w:rFonts w:ascii="Times New Roman" w:cs="Times New Roman" w:eastAsia="Times New Roman" w:hAnsi="Times New Roman"/>
          <w:sz w:val="18"/>
          <w:szCs w:val="18"/>
          <w:color w:val="auto"/>
        </w:rPr>
        <w:t xml:space="preserve"> shares of the registrant’s common stock issued and outstanding.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pertaining to the registrant’s 2026 annual meeting of shareholders (the “Proxy Statement”) to be filed pursuant to Regulation 14A are incorporated herein by reference into Part III of this Annual Report on Form 10-K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clearly indicates otherwise, when used in this report “we,” “us,” “our,” “Superstar Platforms, Inc.,” the “Company,” or “our Company” refers to Superstar Platforms, Inc. and, where applicable,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(this “Report”) contains forward-looking statements within the meaning of Section 27A of the Securities Act of 1933, as amended (the “Securities Act”), and Section 21E of the Securities Exchange Act of 1934, as amended (the “Exchange Act”).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discuss matters that are not historical facts and are based on current expectations and assumptions regarding future events. Because forward-looking statements relate to future events or conditions, they may include words such as “anticipate,” “believe,” “estimate,” “intend,” “could,” “should,” “would,” “may,” “seek,” “plan,” “might,” “will,” “expect,” “predict,” “project,” “forecast,” “potential,” “continue,” or similar expressions, including the negatives of those terms. These forward-looking statements appear in various places throughout this Report and include statements regarding, including without limitation, possible or assumed future results of operations; business strategies and objectives; future cash flows and liquidity; financing plans and capital requirements; plans and objectives of management; future operations and business plans; and any other statements that are not historical facts. Forward-looking statements may also appear in our other filings with the Securities and Exchange Commission, including reports on Form 8-K, in press releases, investor presentations, information posted on our website, and other public statements made by us. These forward-looking statements are not guarantees of future performance and involve risks, uncertainties, and assumptions that are difficult to predict. Many of these risks and uncertainties are outside of our control and could cause actual results to differ materially from those expressed or implied by the forward-looking statements. Factors that could cause actual results to differ materially include, but are not limited to, those discussed under “Item 1A – Risk Factors” and elsewhere in this Report. Considering these risks, uncertainties, and assumptions, the events described in the forward-looking statements may not occur or may occur to a different extent or at a different time than we have described. You are cautioned not to place undue reliance on forward-looking statements, which speak only as of the date of this Report. Except as required by applicable law, we undertake no obligation to update or revise any forward-looking statements, whether as a result of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00" w:type="dxa"/>
            <w:vAlign w:val="bottom"/>
            <w:gridSpan w:val="18"/>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9900" w:type="dxa"/>
            <w:vAlign w:val="bottom"/>
            <w:gridSpan w:val="34"/>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500" w:type="dxa"/>
            <w:vAlign w:val="bottom"/>
            <w:tcBorders>
              <w:top w:val="single" w:sz="8" w:color="auto"/>
            </w:tcBorders>
            <w:gridSpan w:val="12"/>
            <w:shd w:val="clear" w:color="auto" w:fill="CCEEFF"/>
          </w:tcPr>
          <w:p>
            <w:pPr>
              <w:jc w:val="center"/>
              <w:ind w:right="4980"/>
              <w:spacing w:after="0" w:line="169" w:lineRule="exact"/>
              <w:rPr>
                <w:sz w:val="20"/>
                <w:szCs w:val="20"/>
                <w:color w:val="auto"/>
              </w:rPr>
            </w:pPr>
            <w:r>
              <w:rPr>
                <w:rFonts w:ascii="Times New Roman" w:cs="Times New Roman" w:eastAsia="Times New Roman" w:hAnsi="Times New Roman"/>
                <w:sz w:val="18"/>
                <w:szCs w:val="18"/>
                <w:color w:val="0000EE"/>
                <w:w w:val="91"/>
              </w:rPr>
              <w:t>PART I</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176"/>
        </w:trPr>
        <w:tc>
          <w:tcPr>
            <w:tcW w:w="7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280" w:type="dxa"/>
            <w:vAlign w:val="bottom"/>
            <w:tcBorders>
              <w:top w:val="single" w:sz="8" w:color="CCEEFF"/>
            </w:tcBorders>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20" w:type="dxa"/>
            <w:vAlign w:val="bottom"/>
            <w:tcBorders>
              <w:top w:val="single" w:sz="8" w:color="0000EE"/>
            </w:tcBorders>
            <w:gridSpan w:val="2"/>
          </w:tcPr>
          <w:p>
            <w:pPr>
              <w:spacing w:after="0"/>
              <w:rPr>
                <w:sz w:val="15"/>
                <w:szCs w:val="15"/>
                <w:color w:val="auto"/>
              </w:rPr>
            </w:pPr>
          </w:p>
        </w:tc>
        <w:tc>
          <w:tcPr>
            <w:tcW w:w="510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50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00" w:type="dxa"/>
            <w:vAlign w:val="bottom"/>
            <w:gridSpan w:val="16"/>
            <w:shd w:val="clear" w:color="auto" w:fill="CCEEFF"/>
          </w:tcPr>
          <w:p>
            <w:pPr>
              <w:jc w:val="center"/>
              <w:ind w:right="5020"/>
              <w:spacing w:after="0" w:line="176" w:lineRule="exact"/>
              <w:rPr>
                <w:sz w:val="20"/>
                <w:szCs w:val="20"/>
                <w:color w:val="auto"/>
              </w:rPr>
            </w:pPr>
            <w:r>
              <w:rPr>
                <w:rFonts w:ascii="Times New Roman" w:cs="Times New Roman" w:eastAsia="Times New Roman" w:hAnsi="Times New Roman"/>
                <w:sz w:val="18"/>
                <w:szCs w:val="18"/>
                <w:color w:val="0000EE"/>
                <w:w w:val="93"/>
              </w:rPr>
              <w:t>PART III</w:t>
            </w:r>
          </w:p>
        </w:tc>
        <w:tc>
          <w:tcPr>
            <w:tcW w:w="640" w:type="dxa"/>
            <w:vAlign w:val="bottom"/>
            <w:shd w:val="clear" w:color="auto" w:fill="CCEEFF"/>
          </w:tcPr>
          <w:p>
            <w:pPr>
              <w:spacing w:after="0"/>
              <w:rPr>
                <w:sz w:val="17"/>
                <w:szCs w:val="17"/>
                <w:color w:val="auto"/>
              </w:rPr>
            </w:pPr>
          </w:p>
        </w:tc>
      </w:tr>
      <w:tr>
        <w:trPr>
          <w:trHeight w:val="176"/>
        </w:trPr>
        <w:tc>
          <w:tcPr>
            <w:tcW w:w="7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220" w:type="dxa"/>
            <w:vAlign w:val="bottom"/>
            <w:tcBorders>
              <w:top w:val="single" w:sz="8" w:color="CCEEFF"/>
            </w:tcBorders>
            <w:gridSpan w:val="19"/>
          </w:tcPr>
          <w:p>
            <w:pPr>
              <w:ind w:left="8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Borders>
              <w:top w:val="single" w:sz="8" w:color="0000EE"/>
            </w:tcBorders>
            <w:gridSpan w:val="6"/>
          </w:tcPr>
          <w:p>
            <w:pPr>
              <w:spacing w:after="0"/>
              <w:rPr>
                <w:sz w:val="15"/>
                <w:szCs w:val="15"/>
                <w:color w:val="auto"/>
              </w:rPr>
            </w:pPr>
          </w:p>
        </w:tc>
        <w:tc>
          <w:tcPr>
            <w:tcW w:w="50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8"/>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7"/>
              </w:rPr>
              <w:t>PART IV</w:t>
            </w:r>
          </w:p>
        </w:tc>
        <w:tc>
          <w:tcPr>
            <w:tcW w:w="50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900" w:type="dxa"/>
            <w:vAlign w:val="bottom"/>
            <w:gridSpan w:val="3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9900" w:type="dxa"/>
            <w:vAlign w:val="bottom"/>
            <w:gridSpan w:val="34"/>
          </w:tcPr>
          <w:p>
            <w:pPr>
              <w:ind w:left="8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453"/>
        </w:trPr>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680" w:type="dxa"/>
            <w:vAlign w:val="bottom"/>
            <w:tcBorders>
              <w:bottom w:val="single" w:sz="8" w:color="auto"/>
            </w:tcBorders>
            <w:gridSpan w:val="24"/>
          </w:tcPr>
          <w:p>
            <w:pPr>
              <w:jc w:val="right"/>
              <w:ind w:right="5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(“Superstar,” the “Company,” “we,” “us,” or “our”) is a Nevada corporation that operates as a technology-focused holding company. The Company seeks to acquire, develop, and manage a diversified portfolio of subsidiaries across various industries. The Company’s growth strategy is primarily focused on strategic acquisitions, capital allocation, and operational oversight of its portfolio businesses.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the Company owns and operates PawnTrust, a technology-enabled marketplace platform designed to serve approximately 11,000 pawn shops in the United States. PawnTrust is intended to digitize participating pawn shop inventory and facilitate borrowing, buying, and bartering transactions through a mobile-based marketplace. The platform seeks to connect pawn shops and consumers through a centralized digital interface and generate revenue through transaction-based fees.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operating PawnTrust, the Company provides strategic capital resources and operational support to affiliated and third-party businesses. The Company evaluates opportunities to deploy capital in a manner intended to enhance long-term shareholder value, including through structured lending arrangements and potential acquisitions.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operations are currently concentrated in capital deployment activities and the continued development of its technology platform. The Company intends to expand its portfolio through disciplined acquisition and investment strategies, subject to available capital and market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SuperStar Platforms, Inc. added a marketplace exclusively for Pawn Shops to its business model. PawnTrust acts as an intermediary between the Pawn Shop and consumer using the best technology to streamline borrowing, buying, and bartering transactions through an app on a mobile phone.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Issuer went through Receivership Proceedings in the State of Nevada. Case A-17-766927-P Department Number: XXIX. The Custodianship was Approved on January 31, 2018. Discharged on January 21, 2020. On February 25, 2020, Nevada Courts approved the Motion to return Control of Company to the new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authorized to issue one billion shares of common stock and ten thousand shares of preferred stock. The following represent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issued shares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182,289,904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Shares-1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Shares- 9,999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currently consist of two primary activities: (i) operation and development of a technology-enabled marketplace platform, and</w:t>
      </w:r>
    </w:p>
    <w:p>
      <w:pPr>
        <w:spacing w:after="0" w:line="27"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deployment through structured lending arrangements.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PawnTrust Marketplace Platform</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PawnTrust, a digital marketplace platform designed to serve pawn shops and consumers. PawnTrust is intended to enable participating pawn shops to digitize inventory and offer products and services through a mobile-accessible interface. The platform seeks to facilitate the listing of pawn shop inventory, consumer purchasing of listed merchandise, borrowing and lending transactions facilitated through pawn operators, as well as bartering related transaction facilitation. PawnTrust is intended to operate as a technology intermediary between pawn shops and end users and is not intended to operate as a direct lender or purchaser of inventory. The platform remains in development and expansion stages and may require additional capital investment for further functionality, marketing, and scaling.</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Deployment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promissory note arrangements with related and non-related parties. These notes generally bear fixed interest rates and have defined maturity dates. Interest income is recognized in accordance with the terms of the notes. The Company may continue to evaluate structured lending or other capital deployment opportunities as part of its overall business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Model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currently consists primarily of:</w:t>
      </w:r>
    </w:p>
    <w:p>
      <w:pPr>
        <w:spacing w:after="0" w:line="2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Income</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generated from promissory notes bearing contractual interest rates. Interest is accrued monthly in accordance with the terms of the agreements. The Interest Income will be reflected on the companies Statement of Operations as other Income.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Transaction-Based Fees (PawnTrust)</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PawnTrust is designed to generate revenue through transaction-based fees earned as an intermediary between participating pawn shops and consumers. Currently PawnTrust has not generated any revenue, as the technology is in the development stage.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recognition is performed in accordance with U.S. GAAP. Interest income is recognized using the effective interest method, and marketplace revenue is recognized when performance obligations are satisfied. The Company’s revenue concentration is currently dependent on interest income from outstanding loans receivable. As PawnTrust develops, the Company expects marketplace-based revenue, although there can be no assurance of such growth and it is highly dependent on capital investment for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Growth and Acquisition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Superstar Platforms intends to pursue growth through a combination of organic development and strategic acquisitions. The Company’s strategy is to identify and acquire businesses that can benefit from centralized capital resources, operational expertise, and technology integration. Management evaluates potential acquisition opportunities based on several factors, including, scalability of the target business model, ability to leverage technology to improve operational efficiency, opportunities to integrate the business into the Company’s broader platform ecosystem and while creating recurring revenue and strong profit margins. The Company intends to focus on businesses operating in industries where technology-enabled marketplaces and financial services solutions can create meaningful competitive advantages. Superstar Platforms seeks to provide acquired businesses with access to capital, operational support, and shared technology infrastructure while allowing them to maintain operational focus within their respective markets. Management believes this strategy will allow the Company to build a diversified portfolio of operating businesses capable of generating long-term shareholder value.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long-term objective is to develop a diversified technology driven platform company that owns and operates businesses across multiple industries. Management believes that combining technology innovation, strategic capital deployment, and disciplined acquisition strategy will enable the Company to scale rapidly and expand its presence in multiple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PawnTrust operates in a competitive environment that includes, online marketplace platforms (e.g., e-commerce platforms facilitating resale of goods),digital marketplace startups targeting local commerce, traditional pawn shop marketing channels and classified listing platforms. Competition is based on technology functionality, user adoption, transaction fees, brand recognition and ease of use. The pawn industry remains fragmented, with approximately 11,000 pawn shops in the United States, many of which operate independently. The Company’s lending and capital deployment activities compete with traditional banks, individual investors, private lenders and specialty finance companies. Competition is based on access to capital, speed of execution, interest rates, and borrower relationships. The Company’s limited capital resources may constrain its ability to compete with larger, more established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in an environment subject to federal, state, and local laws and regulations. PawnTrust may be subject to consumer protection laws, data privacy and cybersecurity regulations, state-level regulations applicable to pawn transactions, E-commerce and online marketplace laws. The Company does not currently operate as a bank or regulated financial institution. The Company’s promissory note activities may be subject to state usury laws, contract law, and federal and state lending regulations. The Company evaluates its activities to determine whether it is subject to additional regulatory oversight and may incur costs to comply with applicable regulations. Failure to comply with applicable regulations could adversely affect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has no full-time employees and relies on its executive officers and key service providers to manage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functions, including accounting, legal, and technical development, may be supported by third-party consultants or contractors.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invest in the development and enhancement of the PawnTrust marketplace platform. Development activities include software engineering, platform architecture design, user interface development, cybersecurity infrastructure, and marketplace integration functionality. The Company incurred research and development expenses during the year ended December 31, 2025 related to platform development and system enhancements. These expenditures are expensed or capitalized in accordance with U.S. GAAP, depending on the stage of development. Management believes continued investment in platform development is necessary to support functionality, scalability, and long-term commercialization of the PawnTrust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intellectual property consists primarily of proprietary software code, platform architecture, branding, trade names, and marketplace design associated with PawnTrust. As development progresses, the Company expects the PawnTrust platform to represent a significant intangible asset of the business. The Company relies on trade secret protection, contractual confidentiality provisions, and, where applicable, trademark protections to safeguard its intellectual property. The Company does not currently hold issued patents. The Company’s ability to compete depends in part on protecting its proprietary technology and maintaining the confidentiality of its platform architecture and development processes.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lending activities are not subject to material seasonal fluctuations. However, PawnTrust marketplace activity, once fully operational, may experience increased transaction volume during holiday periods and other seasonal retail cycles. At this time, seasonality has not materially impacted consolidated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common stock is highly speculative and involves a high degree of risk. In determining whether to purchase Superstar Platforms Inc.’s common stock, an investor should carefully consider all the material risks described below, together with the other information contained in this report. An investor should only purchase Superstar Platforms Inc.’s securities if he or she can afford to suffer the loss of his or her entire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and Industry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inability to retain our senior management team would be detrimental to the success of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our senior management team; our ability to retain them is particularly important to our future success. Given the highly specialized nature of our services the senior management team must have a thorough understanding of our product and service offerings as well as the skills and experience necessary to manage an organization consisting of a diverse group of professionals and external parties. In addition, we rely on our senior management team to generate and market our business successfully in a crowded, complex, and legislatively bound marketplace. Further, our senior management’s personal reputation and relationships with our clients are a critical element in obtaining and maintaining client engagements. We will enter into non-solicitation agreements with our senior management team, and we will also enter into well-scoped non-competition agreements. If one or more members of our senior management team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Superstar Platforms,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 Our success depends largely on our general ability to attract, develop, motivate, and retain highly skilled professionals. Further, we must successfully maintain the right mix of professionals with relevant experience and skill sets as we grow, as we expand into new service offerings, and as the market evolves. The loss of a considerable number of our professionals, the inability to attract, hire, develop, train, and retain additional skilled personnel, or the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from both senior and junior professionals with the requisite credentials and experience. Our principal competition for talent comes from other pawnshops and consulting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people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Additional hiring, departures, business acquisitions and dispositions could disrupt our operations, increase our costs, or otherwise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products and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several additional risks, including:</w:t>
      </w:r>
    </w:p>
    <w:p>
      <w:pPr>
        <w:spacing w:after="0" w:line="19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attention, and resources from managing and marketing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acquired personnel or existing personnel who may view the acquisition unfavorably;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clients of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compensate new employees while they wait for their restrictive covenants with other institutions to expire;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raise significant amounts of capital to finance a transaction or the potential issuance of equity securities that could be dilutive to our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improve, coordinate, or integrate managerial, operational, financial, and administrative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assumption of liabilities of an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attain the expected synergies with an acquired business;</w:t>
      </w:r>
    </w:p>
    <w:p>
      <w:pPr>
        <w:spacing w:after="0" w:line="225" w:lineRule="exact"/>
        <w:rPr>
          <w:rFonts w:ascii="Times New Roman" w:cs="Times New Roman" w:eastAsia="Times New Roman" w:hAnsi="Times New Roman"/>
          <w:sz w:val="18"/>
          <w:szCs w:val="18"/>
          <w:color w:val="auto"/>
        </w:rPr>
      </w:pPr>
    </w:p>
    <w:p>
      <w:pPr>
        <w:ind w:left="660" w:right="29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usage of earn-outs based on the future performance of our business acquisitions may deter the acquired company from fully integrating into our existing business;</w:t>
      </w:r>
    </w:p>
    <w:p>
      <w:pPr>
        <w:spacing w:after="0" w:line="161" w:lineRule="exact"/>
        <w:rPr>
          <w:rFonts w:ascii="Times New Roman" w:cs="Times New Roman" w:eastAsia="Times New Roman" w:hAnsi="Times New Roman"/>
          <w:sz w:val="18"/>
          <w:szCs w:val="18"/>
          <w:color w:val="auto"/>
        </w:rPr>
      </w:pPr>
    </w:p>
    <w:p>
      <w:pPr>
        <w:ind w:left="660" w:right="27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inequalities if diverse groups of employees are eligible for different benefits and incentives or are subject to different policies and programs;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diverse backgrounds and experiences of consultants, including if we experience a transition period for newly hired consultants results in a temporary drop in our utilization rates or margins.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intangible assets primarily consist of customer relationships, trade names, customer contracts, technology, and software. We evaluate our intangible assets for impairment whenever events or changes in circumstances indicate that the carrying amount of the assets may not be recoverable. 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a non-cash goodwill impairment charge is recognized and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affect demand for our services. These include: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and world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or global financial markets and the availability, costs, and terms of credit;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factors and general business conditions.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tax laws could have a material adverse effect on our business, cash flow, results of operations and financial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and other taxes in the U.S. at the state and federal level. Changes in applicable U.S. state or federal tax laws and regulations, or their interpretation and application, could materially affect our tax expense and profitability. The Company has not filed its federal tax returns for the last 11 years. The Company does not anticipate material adjustments of its tax liabilities when such returns are filed, but there is no guarantee that such filings will not have a material adverse effect.</w:t>
      </w:r>
    </w:p>
    <w:p>
      <w:pPr>
        <w:sectPr>
          <w:pgSz w:w="11900" w:h="16838" w:orient="portrait"/>
          <w:cols w:equalWidth="0" w:num="1">
            <w:col w:w="11240"/>
          </w:cols>
          <w:pgMar w:left="320" w:top="229" w:right="339" w:bottom="308"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30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manage fluctuations in our business successfully, we may not be able to achieve profitability.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successfully manage growth, we must periodically adjust and strengthen our operating, financial, accounting, and other systems, procedures, and controls, which could increase our costs and may adversely affect our gross profits and our ability to achieve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our services and the general economic environment make it difficult to predict our future operating results. To achieve profitability, we must:</w:t>
      </w:r>
    </w:p>
    <w:p>
      <w:pPr>
        <w:spacing w:after="0" w:line="20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retain, and motivate highly qualified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adequate utilization and suitable billing rates for our revenue-generating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relationships with our clients and identify new clients in need of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resell product/ engagements and secure new client sales/engagements every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brand recognition; and</w:t>
      </w:r>
    </w:p>
    <w:p>
      <w:pPr>
        <w:spacing w:after="0" w:line="225" w:lineRule="exact"/>
        <w:rPr>
          <w:rFonts w:ascii="Times New Roman" w:cs="Times New Roman" w:eastAsia="Times New Roman" w:hAnsi="Times New Roman"/>
          <w:sz w:val="18"/>
          <w:szCs w:val="18"/>
          <w:color w:val="auto"/>
        </w:rPr>
      </w:pPr>
    </w:p>
    <w:p>
      <w:pPr>
        <w:ind w:left="660" w:right="25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quickly to meet changes in our markets, our business mix, the economic environment, the credit markets, and competitive developments.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results could suffer if we are unable to achieve or maintain adequate utilization and suitable billing rates for our products and services.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 is likely that our year end results of operations may fluctuate in the future because of certain factors, some of which may be outside of our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A key element of our strategy is to market our products and services directly to certain specific organizations, and to increase the number of our products and services utilized by existing clients. The sales cycle for some of our products and services is often lengthy and may involve significant commitment of client personnel. Consequently, the commencement date of a client engagement often cannot be accurately forecasted. Certain of our client contracts contain terms that result in revenue being deferred and cannot be recognized until the occurrence of certain events. As a result, the period between contract signing and recognition of associated revenue may be lengthy, and we are not able to predict with certainty the period in which revenue will be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contracts state that some portion or all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the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fluctuations in our year end results of operations may be due to several other factors, some of which are not within our control,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client invoices processed, and payments received, which may affect the fees payable to us under certain of our engagements;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decisions regarding renewal or termination of their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development or acquisition of technologies or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other settlement gains or losses.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becoming increasingly dependent on information technology and will require additional investments to grow and meet the demands of our clients.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the use of sophisticated technologies and systems. Some of the services may become dependent on the use of software applications and systems that we do not own and could become unavailable. Moreover, our technology platforms will require continuing investments by us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changes to our relationships with key third-party vendors, or in the business of our key third-party vendors, could unfavorably impact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system failures, service interruptions, or security breaches that could negatively impact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organization is comprised of employees who work on matters throughout the United States. We may be subject to disruption to our operating systems from technological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risks. We will need to continue to invest in technology to achieve the redundancies necessary to prevent service interruptions. Access to our systems because of security breach, the failure of our systems, or the loss of data could result in legal claims or proceedings, liability, or regulatory penalties and disruption operations, which could adversely affect our business and financial results.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reputation could be damaged, and we could incur additional liabilities if we fail to protect client and employee data of our own accord or if our information systems are breached.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and to communicate among our locations and with our clients, partners, and employees. The breadth and complexity of this infrastructure increases the potential risk of security breaches which could lead to potential unauthorized disclosure of confidential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providing services to clients, we may manage, utilize, and store sensitive or confidential client data. In addition, many states, and U.S. federal governmental authorities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data security and privacy laws and regulations may increase our costs of doing business and negatively impact our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are increasing in complexity and number. If any person, including any of our employees, negligently disregards or intentionally breaches our established controls with respect to client data, or otherwise mismanages or misappropriates that data, we could be subject to significant monetary damages, regulatory enforcement actions, fines, and/or criminal prosecution.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unauthorized disclosure of sensitive or confidential client data, whether through systems failure, employee negligence, fraud, or misappropriation, could damage our reputation and cause us to lose clients and their related revenue in the future.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general economic conditions and monetary or geo-political disruptions, as well as other factors beyond our control, could reduce demand for our practice offerings or services, in which case our revenues and profitability could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could affect demand for our practices and our services. These include:</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economy, including economic recessions and the strength and rate of any general economic recoveries;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financial markets and the availability, costs and terms of credit and credit modifications;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management crises, including the occurrence of alleged fraudulent or illegal activities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complex laws and regulations, repeals of existing laws and regulations or changes of enforcement of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geographic, or political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economy will have on our business. Fluctuations, changes, and disruptions in finance, credit, mergers and acquisitions and other markets, political instability and general business factors could impact various operations and could affect such operations differently. Changes to factors described above, as well as other events, including by way of example, contractions of regional economies, monetary systems, banking, real estate and retail or other industries; debt or credit difficulties or defaults by businesses; new, repeals of or changes to laws and regulations, including changes to the bankruptcy and competition laws of the U.S.; a decline in the implementation or adoption of new laws of regulation, or in government enforcement, litigation or monetary damages or remedies that are sought; or political instability may have adverse effects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operating income and cash flow are likely to fluctuate.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experience fluctuations in our revenues and cost structure and the resulting operating income and cash flows. We may experience fluctuations in our annual and quarterly financial results, including revenues, operating income and earnings per share, for reasons that include (i) the types and complexity, number, size, timing and duration of client engagements; (ii) the timing of revenue recognition under accounting principles generally accepted in the United States of America (“U.S. GAAP”); (iii) the utilization of revenue-generating professionals, including the ability to adjust staffing levels up or down to accommodate our business and prospects; (iv) the time it takes before a new hire becomes profitable; (v) the geographic locations of our clients or the locations where services are rendered; (vi) billing rates and fee arrangements, including the opportunity and ability to successfully reach milestones and complete projects, and collect for them; (vii) the length of billing and collection cycles and changes in amounts that may become uncollectible; (viii) changes in the frequency and complexity of government regulatory and enforcement activities; and (ix) economic factors beyond our control.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experience fluctuations in our operating income and related cash flows because of increases in employee compensation, including changes to our incentive compensation structure and the timing of incentive payments. Also, the timing of investments or acquisitions and the cost of integrating them may cause fluctuations in our financial results, including operating income and cash flows. This volatility may make it difficult to forecast our future results with precision and to assess accurately whether increases or decreases in any one or more quarters are likely to cause annual results to exceed or fall short of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faces certain risks, including (i) industry consolidation and a heightened competitive environment, (ii) downward pricing pressure,</w:t>
      </w:r>
    </w:p>
    <w:p>
      <w:pPr>
        <w:spacing w:after="0" w:line="31" w:lineRule="exact"/>
        <w:rPr>
          <w:sz w:val="20"/>
          <w:szCs w:val="20"/>
          <w:color w:val="auto"/>
        </w:rPr>
      </w:pPr>
    </w:p>
    <w:p>
      <w:pPr>
        <w:ind w:firstLine="8"/>
        <w:spacing w:after="0" w:line="260" w:lineRule="auto"/>
        <w:tabs>
          <w:tab w:leader="none" w:pos="34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changes and obsolescence, (iv) failure to protect client information against cyber-attacks and (v) failure to protect IP, which individually or together could cause the financial results and prospects of the Company to decline.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is facing significant competition from other consultants. There continues to be significant consolidation of companies providing products and services like those offered by our Company, which may provide competitors with greater financial and other resources than those of Superstar Platforms Inc. This industry is subject to significant and rapid innovation. Larger competitors may be able to invest more in research and development, react more quickly to new regulatory or legal requirements and other changes, or innovate more quickly and efficiently.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software and products of our Company are subject to rapid technological innovation. There is no guarantee that we will successfully develop new versions of our software or other products. Our software may not keep pace with necessary changes and innovation. There is no assurance that new, innovative, or improved software or products will be developed, compete effectively with the software and technology developed and offered by competitors, be price competitive with other companies providing similar software or products, or be accepted by our clients or the marketplace. If Superstar Platforms Inc. is unable to develop and offer competitive software and products or is otherwise unable to capitalize on market opportunities, the impact could adversely affect our operating margins and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face cyber-based attacks and attempts by hackers and similar unauthorized users to gain access to or corrupt our information technology systems. Such attacks could disrupt our business operations, cause us to incur unanticipated losses or expenses, and result in unauthorized disclosures of confidential or proprietary information. Although we seek to prevent, detect, and investigate these network security incidents, and have taken steps to mitigate the likelihood of network security breaches, there can be no assurance that attacks by unauthorized users will not be attempted in the future or that our security measures will be effective.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trade secrets, confidentiality, and other contractual provisions to protect our assets. Our software and related documentation will be protected principally under United States laws, which afford only limited protection, and the laws of some foreign jurisdictions provide less protection for our proprietary rights than the laws of the U.S. Unauthorized use and misuse of our IP by employees or third parties could have a material adverse effect on our business, financial condition and results of operations. The available legal remedies for unauthorized or misuse of our IP may not adequately compensate us for the damage caused by unauthorized 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manage our growth effectively, and our profitability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manage our growth effectively, our business, financial results and financial condition may suffer.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assured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Superstar Platforms Inc. could experience from losing valued professionals and their industry expertise and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financial condition, results of operations and growth could be harmed by the effects of the COVID-19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risks related to the public health crises such as the global pandemic associated with the coronavirus (COVID-19). In December 2019, a novel strain of coronavirus, SARS-CoV-2, was reported to have surfaced in Wuhan, China. Since then, SARS-CoV-2, and the resulting disease COVID-19, has spread to most countries, and all fifty states within the United States. In March 2020, the World Health Organization declared the COVID-19 outbreak a pandemic. The COVID-19 pandemic is no longer a national emergency but is considered still to be a public health priority. Numerous governmental jurisdictions have imposed in the past, and others in the future may impose, “shelter-in-place” orders, quarantines, executive orders and similar government orders and restrictions for their residents to control the spread of COVID-19. Such orders or restrictions, and the perception that such orders or restrictions could occur, have resulted in business closures, work stoppages, slowdowns and delays, work-from-home policies, travel restrictions and cancellation of events, among other effects, thereby negatively impacting our customers, employees, and offices, among others. We may experience further limitations on employee resources in the future, because of sickness of employees or their families.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widespread COVID-19 pandemic has resulted in, and may continue to result in, significant volatility and uncertainty in U.S. financial markets, which may reduce our ability to access capital, which could in the future negatively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secure the capital required to develop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dependent on securing additional capital. If we fail to secure the required capital our business will fail.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Risk Factor</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financial statements have been prepared on a going concern basis, we have accumulated significant losses and have had negative cash flows from operations that could adversely affect our ability to secure additional capital to fund our operations or limit our ability to react to changes in the economy or our industry. These additional risks or uncertainties not presently known to us, or that we currently deem immaterial, raise substantial doubt about our ability to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Accounting Standards Update (“ASU”) 2014-15, Presentation of Financial Statements—Going Concern (Subtopic 205-40) Accounting Standards Codification (“ASC 205-40”), Superstar Platforms Inc.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 Management has assessed Superstar Platforms Inc.’s ability to continue as a going concern in accordance with the requirement of ASC 205-40.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and the rules and regulations of the SEC. The consolidated financial statements have been prepared using U.S. GAAP applicable to a going concern that contemplates the realization of assets and liquidation of liabilities in the normal course of business. Superstar Platforms Inc. has accumulated significant losses and has negative cash flows from operations and, on December 31, 2025, had a working capital deficit and accumulated a deficit of $1,835,034, respectively. In addition, the Company’s cash position is critically deficient, and critical payments are not being made in the ordinary course of business, all of which raises substantial doubt about Superstar Platforms Inc.’s ability to continue as a going concern. Management’s plans with respect to alleviating the adverse financial conditions that caused management to express substantial doubt about Superstar Platforms Inc.’s ability to continue as a going concern are discussed in “Management’s Discussion and Analysis of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Superstar Platforms Inc. has incurred substantial costs in connection with the acquisition of the Platform which may include accounting, tax, legal and other professional services costs, recruiting, and relocation costs associated with hiring key senior management personnel who are new to Superstar Platforms Inc., tax costs and costs to separate information systems, among other costs.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The cost of performing such functions is anticipated to be higher than the amounts reflected in Superstar Platforms Inc.’s historical financial statements, which would cause its future losses to increase. Accordingly, Superstar Platforms Inc. will continue to focus on increasing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Superstar Platforms Inc. will be able to achieve its business plan, raise any additional capital or secure the additional financing necessary to implement its current operating plan. The ability of Superstar Platforms Inc. to continue as a going concern is dependent upon its ability to significantly increase its revenues and eventually achieve profitable operations. The accompanying consolidated financial statements do not include any adjustments that might be necessary if Superstar Platforms Inc. is unable to continue as a going concern.</w:t>
      </w:r>
    </w:p>
    <w:p>
      <w:pPr>
        <w:spacing w:after="0" w:line="1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is considered a “penny stock,” and is therefore considered risky.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OTC Pink Sheet stocks, and especially those being offered for less than $5.00 per share, are often known as “penny stocks” and are subject to regulations which mandate the dispersion of certain disclosures to potential investors prior to any investor’s purchase of any penny stocks. Penny stocks are low-priced securities with low trading volume. Consequently, the price of the stock is often volatile, and investors may be unable to buy or sell the stock when you desire. The SEC extensively monitors “penny stocks,” and such regulations are enumerated in Exchange Act Section 15(h) and Exchange Act Rules 3a51-1 and 15g-1 through 15g-100. With certain exceptions, brokers selling our stock must adhere to the SEC’s “penny stock” regulations, which requirements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a risk disclosure document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price quotations and other information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any compensation they receive from the sale of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a disclosure of any compensation paid to any associated persons in connection with transactions relating to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quarterly account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may not sell any of our stock that is held in escrow or trust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selling our stock, brokers must approve your account for buying and selling penny stocks.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make a special written determination that the penny stock is a suitable investment for the purchaser and receive the purchaser’s written agreement to the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additional sales practices and the disclosure requirements could impede the sale of our securities. In addition, the liquidity of our securities may be adversely affected, with related adverse effects on the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“penny stock” rules described above,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speculatively low-priced securities will not be suitable for at least some customers. The FINRA requirements make it more difficult for broker-dealers to recommend their customers buy our common stock, which may have the effect of reducing the trading activity in our common stock. As a result, fewer broker-dealers may be willing to make a market in our common stock, reducing a stockholder’s ability to resell shares of our common stock, thereby potentially reducing the liquidity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previously paid any cash dividends, nor have we decided to pay dividends on any share of preferred stock or shares of Common Stock. There can be no assurance that our operations will result in sufficient revenues to enable us to operate at profitable levels or to generate positive cash flows. Furthermore, there is no assurance that the Board of Directors will declare dividends even if profitable. Dividend policy is subject to the discretion of our Board of Directors and will depend on, among other things, our earnings, financial condition, capital requirements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additional shares in the future, it will result in the dilution of our existing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has authorized one billion shares of $0.001 par value Common Stock of which 182,289,904 were issued and outstanding as of December 31, 2025. These shares have one vote per share. The issuance of any such shares may result in a reduction in the market price of our outstanding shares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and we may take advantage of certain exemptions from various reporting requirements that are applicable to other public companies, including “emerging growth companies” such as,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Our status as a smaller reporting company is determined on an annual basis. We cannot predict if investors will find our Common Stock less attractive or our Company less comparable to certain other public companies because we will rely on these exemptions. For example, if we do not adopt a new or revised accounting standard, our future financial results may not be as comparable to the financial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reporting public company may strain our resources, divert management’s attention, and affect our ability to attract and retain additional executive management and qualified board members.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reporting public company, we will be subject to the reporting requirements of the Exchange Act, the Sarbanes-Oxley Act, and the Dodd-Frank Act,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 “smaller reporting company.” The Exchange Act requires, among other things, that we file annual, quarterly, and current reports with respect to our business and results of operations. As a “smaller reporting company,” we receive certain reporting exemptions under the Sarbanes-Oxley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creates uncertainty for public companies, increases legal and financial compliance costs and increase time expenditures for internal personnel. These laws, regulations and standards are subject to interpretation, in many cases due to their lack of specificity, and their application in practice may evolve over time as regulators and governing bodies provide new guidance. These changes may result in continued uncertainty regarding compliance matters and may necessitate higher costs due to ongoing revisions to filings, disclosures,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regulatory or legal proceedings against us, and our business may be adversely affected.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under these rules and regulations, we expect that it may make it more expensive for us to obtain director and officer liability insurance, and we may be required to accept reduced coverage or incur higher costs to obtain coverage. These factors could also make it more difficult for us to attract and retain qualified members of our Board of Directors and could also make it more difficult to attract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result in losses to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markets have experienced and may experience significant price and trading volume fluctuations, and the market prices of companies quoted on the Pink Tier of the OTC Marketplace, which is where our stock is currently quoted, have experienced sharp share price and trading volume changes. The trading price of our common stock is likely to be volatile and could fluctuate widely in response to many factors both in and outside of our control, and include but are not limited to the following:</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our future financial performance, including financial estimates by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and stock price performance of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markets often experience significant price and volume fluctuations. These fluctuations, as well as general economic and political conditions unrelated to our performance, may adversely affect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for our common stock may be characterized by significant price volatility as compared to seasoned issuers, and we expect that our share price will be more volatile than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become thinly traded and you may be unable to sell at or near ask prices, or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trading our common stock will be sustained. The trading volume of our common stock may be sporadically or “thinly traded,” meaning that the number of persons interested in purchasing our common stock at or near bid prices at certain given time may be small or non-existent.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situation is attributable to several factors, including the fact that we are a small company which is unknown to stock analysts, stockbrokers, institutional investors, and others in the investment community who generate or influence sales volume. Even if we came to the attention of such people, those people may be reluctant to follow, purchase, or recommend the purchase of shares of an unproven company such as ours until such time as we become more seasoned and viable. Consequently, there may be periods of several days or more when trading activity in our shares is minimal or non-existent, as compared to a seasoned issuer which has a large and steady volume of trading activity that will support continuous sales without an adverse effect on share price. We cannot give you any assurance that a broader or more active public trading market for our common stock will develop or be sustained.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become volatile given our status as a small company, which could lead to wide fluctuations in our share price. You may be unable to sell your common stock at or above your purchase price if at all, which may result in substantial losses to you.</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but are not limited to: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able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volatility of our share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concentrated among a limited number of borrowers. As of December 31, 2025, our loans receivable are concentrated among a limited number of borrowers. A substantial portion of our outstanding loan balance is attributable to a small group of entities, including loans associated with a common principal borrower. The failure of one or more significant borrowers to repay principal or interest when due could materially adversely affect our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loan portfolio is associated with a common principal borrower.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 portion of our loans receivable is associated with two borrowing entities that share a common principal borrower. Although these loans are documented as separate obligations, financial difficulties experienced by the principal borrower or related business interests could adversely affect the ability of one or both entities to repay their obligations. If these borrowers fail to perform under the terms of their promissory notes, our financial condition and results of operations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loans are to related parties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loans have been made to entities controlled by our Chief Executive Officer. Although such loans are documented by promissory notes with stated interest rates and maturity dates, related-party transactions present potential conflicts of interest and may be subject to heightened regulatory and investor scrutiny. If such borrowers experience financial difficulty, repayment could be delayed or impaired.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are primarily unsecured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limited exceptions, our loans are unsecured obligations. In the event of a borrower default, we may have limited ability to recover outstanding principal and accrued interest. The absence of collateral increases our credit risk exposure.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are structured as interest-only obligations with balloon maturities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generally require monthly interest payments with principal due in full at maturity on December 31, 2026. Because principal is not amortized during the loan term, our exposure to principal repayment risk remains constant throughout the life of the loan. Our ability to recover principal depends on the borrower’s ability to refinance or otherwise repay the loan at maturity.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loans bear relatively high interest rates, which may reflect increased credit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Many of our loans bear interest at 24% per annum. Higher interest rates may reflect increased perceived credit risk associated with borrowers. If borrowers are unable to generate sufficient cash flow to meet their obligations, defaults could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recorded an allowance for credit losses based on estimates that may prove inaccurate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under ASC 326 based on management’s estimates of lifetime expected credit losses. These estimates involve judgment and assumptions regarding borrower financial condition, economic conditions, concentration risk, and other qualitative factors. If actual credit losses exceed our estimates, we may be required to record additional provisions, which could materially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includes lending activities that expose us to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our assets consists of loans receivable issued to various borrowers pursuant to promissory notes. These loans accrue interest monthly and are unsecured. As a result, we are exposed to the risk that borrowers may fail to repay principal or interest in accordance with the terms of their agreements. If borrowers default on their obligations or experience financial difficulty, we may be unable to recover amounts owed to us, which could adversely affect our financial condition, results of operations, and cash flows. Although management evaluates the creditworthiness of borrowers and has established an allowance for credit losses, these measures may not be sufficient to fully mitigate the risk of borrower defaults.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PawnTrust and Platform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PawnTrust is in development and may not achieve commercial success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PawnTrust remains in development and expansion stages. The success of the platform depends on achieving meaningful adoption by pawn shops and consumers. There can be no assurance that the platform will generate sufficient transaction volume to achieve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incurring research and development expenses that may not generate expected returns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investing in technology development, platform enhancement, and related research and development activities. These expenditures may not result in commercially viable products or revenue growth. If PawnTrust fails to achieve market acceptance, we may not recover our development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PawnTrust operates in a competitive marketplace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marketplace platform competes with established e-commerce platforms, classified listing services, and other technology-enabled marketplaces. Many competitors have significantly greater financial, technological, and marketing resources than we do.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may be subject to cybersecurity and data protection risks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 of PawnTrust involves the collection and storage of data. Any data breach, cybersecurity incident, or failure of information technology systems could disrupt operations, result in reputational damage, and expose us to legal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depends on borrower performance and access to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meet operating expenses depends on interest collections and the repayment of principal on outstanding loans. If borrowers fail to make payments, our liquidity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debt financing could impact our financial flexibility.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approximately $2,674,670 in notes payable. These borrowings are used to support our operations and lending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service these obligations depends on our future operating performance and the collectability of loans receivable.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generate sufficient cash flows or obtain additional financing, we may be required to refinance existing debt, delay expansion plans, or reduce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loans mature on December 31, 2026</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concentration of maturities on a single date increases refinancing risk. If borrowers are unable to repay or refinance their loans at maturity, we may experience delays or losses in principal recovery.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require additional capital to continue operations, expand PawnTrust, or pursue acquisitions. There can be no assurance that additional financing will be available on acceptable terms, or at all. Issuance of additional equity could result in dilution to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has significant influence over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Chief Executive Officer owns and controls significant equity interests in the Company and may have substantial influence over corporate matters, including the election of directors and approval of transactions. This concentration of control may limit the ability of other shareholders to influence corporate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small public company with limited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smaller reporting company and non-accelerated filer, we have limited financial and administrative resources. Compliance with SEC reporting requirements imposes significant costs and may divert management’s attention from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regulatory oversight relating to lending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do not operate as a bank or regulated financial institution, our lending activities may be subject to state usury laws and other applicable regulations. Changes in applicable laws or interpretations could adversely affect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public company engaged in lending and technology operations, we may be subject to litigation or regulatory inquiries, which could result in significant costs.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all the foregoing, we believe it is possible for future revenue, expenses, and operating results to vary significantly from quarter to quarter and year to year. As a result, quarter-to-quarter and year-to-year comparisons of operating results are not necessarily meaningful or indicative of future performance. Furthermore, we believe that it is possible that in any given quarter or fiscal year our operating results could differ from the expectations of public market analysts or investors. In such an event or if adverse conditions prevail, or are perceived to prevail, with respect to our business or generally, the market price of our Common Stock would likely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importance of cybersecurity in protecting its information systems, technology infrastructure, and data. The Company’s operations include the development of the PawnTrust marketplace platform and the use of various information technology systems to support business operations. As a result, the Company may be exposed to cybersecurity risks, including unauthorized access to systems, data breaches, ransomware attacks, and other cyber incidents.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seeks to manage cybersecurity risk through a combination of technical safeguards, internal processes, and third-party service providers. These measures include access controls, system monitoring, data protection procedures, and periodic review of system security practices. The Company also relies on reputable third-party service providers for certain hosting, data storage, and technology services that support the Company’s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risk management is overseen by management, including executive leadership responsible for technology and operational oversight. Management evaluates cybersecurity risks as part of the Company’s broader risk management process and takes steps to address identified vulnerabilities when appropriate.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date of this report, the Company has not identified any cybersecurity incidents that have materially affected, or are reasonably likely to materially affect, the Company’s business strategy, results of operations, or financial condition. However, cybersecurity threats are continually evolving, and the Company may face cybersecurity risks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continue evaluating and enhancing its cybersecurity practices as its operations and technology infrastructure evolve.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office space located at 586 Cobb Parkway S, Suite 900, Marietta, Georgia 30060, which serves as the Company’s principal executive office. The lease term is twelve (12) months, with monthly rental payments of $500, resulting in annual lease payments of approximately $6,000. The Company accounts for leases in accordance with Accounting Standards Codification (“ASC”) 842, Leases. The Company has elected the short-term lease exemption for leases with a term of twelve months or less. Under this election, the Company does not recognize right-of-use assets or lease liabilities for qualifying leases and instead recognizes lease payments as rent expense on a straight-line basis over the lease term. Management believes that the Company’s current facilities are adequate for its present operational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As of the date of this report, the Company is not a party to any material legal proceedings, and management is not aware of any pending or threatened legal proceedings that could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Company’s common stock is quoted on the </w:t>
      </w:r>
      <w:r>
        <w:rPr>
          <w:rFonts w:ascii="Times New Roman" w:cs="Times New Roman" w:eastAsia="Times New Roman" w:hAnsi="Times New Roman"/>
          <w:sz w:val="18"/>
          <w:szCs w:val="18"/>
          <w:b w:val="1"/>
          <w:bCs w:val="1"/>
          <w:color w:val="auto"/>
        </w:rPr>
        <w:t>OTC Markets</w:t>
      </w:r>
      <w:r>
        <w:rPr>
          <w:rFonts w:ascii="Times New Roman" w:cs="Times New Roman" w:eastAsia="Times New Roman" w:hAnsi="Times New Roman"/>
          <w:sz w:val="18"/>
          <w:szCs w:val="18"/>
          <w:color w:val="auto"/>
        </w:rPr>
        <w:t xml:space="preserve"> under the symbol “</w:t>
      </w:r>
      <w:r>
        <w:rPr>
          <w:rFonts w:ascii="Times New Roman" w:cs="Times New Roman" w:eastAsia="Times New Roman" w:hAnsi="Times New Roman"/>
          <w:sz w:val="18"/>
          <w:szCs w:val="18"/>
          <w:b w:val="1"/>
          <w:bCs w:val="1"/>
          <w:color w:val="auto"/>
        </w:rPr>
        <w:t>SPST.</w:t>
      </w:r>
      <w:r>
        <w:rPr>
          <w:rFonts w:ascii="Times New Roman" w:cs="Times New Roman" w:eastAsia="Times New Roman" w:hAnsi="Times New Roman"/>
          <w:sz w:val="18"/>
          <w:szCs w:val="18"/>
          <w:color w:val="auto"/>
        </w:rPr>
        <w:t>” The OTC Markets is a quotation service that displays real-time quotes, last-sale prices, and volume information in over-the-counter equity securities. Securities quoted on the OTC Markets may have less liquidity and greater volatility than securities listed on national securities exchanges. Because our Common Stock is not listed on national securities exchange and its quotation on OTC Pink is limited and sporadic, there is currently no established public trading market for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the Company’s common stock may fluctuate significantly in response to various factors, including the Company’s financial results, developments in the Company’s business operations, general economic conditions, market perception of the Company’s growth prospects, and other factors beyond the Company’s control.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high and low closing prices per share of our common stock as reported for the periods indicated. Such quotations represent inter-dealer prices without retail markup, markdown on commissions and may not represent actual transactions. On December 31, 2025, the closing price of our common stock on OTC Pink was $.078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Quarter Ended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30,2022</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.0275</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0.185</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0.1775</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0.165</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0.131</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0.068</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0.0599</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0.0599</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0.056</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0.027</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0.022</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0.022</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4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.078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204 holders of record as of December 31, 2025. In many instances, a registered shareholder is a broker or other entity holding shares in street name for one or more customers who beneficially own the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Pacific Stock Transfer Co., 6725 Via Austi Parkway Suite 300, Las Vegas, NV 89119. Their telephone number is (702) 361-3033.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6, 2026, we had a total of 182,209,904 shares of our common stock outstanding. 100,000,000 (54.8%)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 and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shares of our common stock are subject to outstanding options or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Outstanding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6, 2026, we had a total of 182,289,904 shares of our common stock outstanding. 100,000,000 (54.8%)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has not declared or paid any cash dividends on its common stock since its inception. The Company currently intends to retain any future earnings to support the development and expansion of its business and does not anticipate paying cash dividends in the foreseeable future. Any future determination regarding the payment of dividends will be made at the discretion of the Company’s Board of Directors and will depend upon the Company’s financial condition, results of operations, capital requirements, contractual restrictions, and other factors that the Board of Directors deems relevant.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Broker-dealer practices in connection with transactions in “penny stocks” are regulated by certain penny stock rules adopted by the SEC. Penny stocks are equity securities with a price of less than $5.00. Excluded from the penny stock designation are securities registered on certain national securities exchanges or quoted on NASDAQ, provided that current price and volume information with respect to transactions in such securities is provided by the exchange/system or sold to established customers or accredited investors.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stock rules require a broker-dealer, prior to a transaction in a penny stock not otherwise exempt from the rules, to deliver a standardized risk disclosure document that provides information about penny stocks and the risks in the penny stock market. The broker-dealer also must provide the customer with the current bid and offer quotations for the penny stock, the compensation of the broker-dealer and its salesperson in connection with the transaction, and the monthly account statements showing the market value of each penny stock held in the customer’s account. In addition, the penny stock rules require that prior to a transaction in a penny stock, the broker-dealer must make a special written determination that the penny stock is a suitable investment for the purchaser and receive the purchaser’s written agreement to the transaction.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level of trading activity in the secondary market for a stock that becomes subject to the penny stock rules. As our Common Stock has become subject to the penny stock rules, investors may find it more difficult to sell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2025, the Company issued shares of its common stock in private transactions that were not registered under the Securities Act of 1933, as amended (the “Securities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securities were issued in reliance on exemptions from registration provided by Section 4(a)(2) of the Securities Act and/or Regulation D promulgated there under, as transactions not involving a public offering. The recipients of these securities represented that they were acquiring the securities for investment purposes and not with a view to distribution. The securities were issued without registration in reliance on the exemptions provided under the Securities Act. The shares issued in these transactions constitute restricted securities and may be resold only pursuant to registration under the Securities Act or an available exemption from registration, including Rule 144, if applicable. The issuances described above are reflected in the Company’s Statement of Stockholders’ Equity for the year ended December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30"/>
        </w:trPr>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shares</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 paid</w:t>
            </w:r>
          </w:p>
        </w:tc>
        <w:tc>
          <w:tcPr>
            <w:tcW w:w="14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Reason</w:t>
            </w:r>
          </w:p>
        </w:tc>
        <w:tc>
          <w:tcPr>
            <w:tcW w:w="1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Exemption</w:t>
            </w:r>
          </w:p>
        </w:tc>
      </w:tr>
      <w:tr>
        <w:trPr>
          <w:trHeight w:val="209"/>
        </w:trPr>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2/10/2025</w:t>
            </w:r>
          </w:p>
        </w:tc>
        <w:tc>
          <w:tcPr>
            <w:tcW w:w="2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Wells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95,239</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Amber McAffee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476,191</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Cathy Lance</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166,667</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Wade McAffee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119,048</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Richard Brookfield</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Deante Brumfield</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30,000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Miranda Allen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Rebecca Wells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40,000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Carlos Diaz</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Bruce Hebel</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James Washington</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Chris Naffky</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238,096</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Robert Bennett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200,401</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Eric Walker</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200,401</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Wayne Miller</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Dayton Greaves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Johnny Walker</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Alissa Wells</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238,095</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Susan Wells</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238,095</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Lolita Smith</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142,857</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Braden Smith</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110,000</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20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Duke Hale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08/25/2025</w:t>
            </w:r>
          </w:p>
        </w:tc>
        <w:tc>
          <w:tcPr>
            <w:tcW w:w="20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Wayne Miller</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357,143</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144</w:t>
            </w:r>
          </w:p>
        </w:tc>
      </w:t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10,557,948</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issued a total of $10,557,948 shares from year ended December 31, 2024-December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shares of its common stock during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did not maintain any equity compensation plans under which equity securities of the Company were authorized for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OF OUR PLAN OF OPERATION AND RESULTS OF OPERATIONS SHOULD BE READ IN CONJUNCTION WITH THE FINANCIAL STATEMENTS AND RELATED NOTES TO THE FINANCIAL STATEMENTS INCLUDED ELSEWHERE IN THIS REPORT.</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Superstar Platforms, will be a leading national technology conglomerate that will control a diversified portfolio of subsidiaries across various industries. The Company’s business strategy includes the development of technology platforms, strategic capital deployment, and potential acquisitions intended to expand the Company’s operations. The Company currently owns and is developing the PawnTrust marketplace platform, which is designed to enable pawn shops to digitize inventory and facilitate borrowing, buying, and bartering transactions through a mobile-based marketplace. In addition to its platform development activities, the Company has entered into promissory note arrangements with both related and non-related parties. These notes bear fixed interest rates and represent the Company’s primary source of revenue during the current stage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principal assets consist primarily of loans receivable bearing contractual interest rates and maturing on December 31, 2026. The Company accrues interest income on these notes in accordance with the terms of the underlying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operated as Dinewise Inc. until March 27, 2025 when it changed its name to Superstar Platforms Inc. Superstar Platforms, Inc owns PawnTrust. PawnTrust is a marketplace exclusively for Pawn Shops. It allows users to buy, borrow and barter through an app on their mobile phone. The marketplace is in beta testing and is slated to go live in Q2/2026. The Company utilizes a combination of shareholder capital and debt financing to fund its lending activities, generating interest income from loans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technology sector is projected to surpass 5.5 trillion in 2026.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small lending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27, 2025 when it changed its name to Superstar Platforms Inc. As of December 31, 2025, The Company was authorized to issue one billion of common stock with 182,289,904 issued and outstanding. The company has issued 10,557,948 shares since the Annual Report for the period ending December 31, 2024. In 2022, the Company issued 34,000,000 shares for debt conversions. In 2023, the Company issued 13,000,000 shares for debt conversion. In 2024, the Company issued 17,000,000 for debt conversions. There is no preferred stock. The Company may require additional funding for ongoing operations in the future. There is no guarantee that we will be able to raise any additional capital and have no current arrangements for any such financing.</w:t>
      </w:r>
    </w:p>
    <w:p>
      <w:pPr>
        <w:sectPr>
          <w:pgSz w:w="11900" w:h="16838" w:orient="portrait"/>
          <w:cols w:equalWidth="0" w:num="1">
            <w:col w:w="11240"/>
          </w:cols>
          <w:pgMar w:left="320" w:top="229" w:right="339" w:bottom="1149"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149"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year ended December 31, 2025, the Company generated total revenue of </w:t>
      </w:r>
      <w:r>
        <w:rPr>
          <w:rFonts w:ascii="Times New Roman" w:cs="Times New Roman" w:eastAsia="Times New Roman" w:hAnsi="Times New Roman"/>
          <w:sz w:val="18"/>
          <w:szCs w:val="18"/>
          <w:b w:val="1"/>
          <w:bCs w:val="1"/>
          <w:color w:val="auto"/>
        </w:rPr>
        <w:t>$307,068.,</w:t>
      </w:r>
      <w:r>
        <w:rPr>
          <w:rFonts w:ascii="Times New Roman" w:cs="Times New Roman" w:eastAsia="Times New Roman" w:hAnsi="Times New Roman"/>
          <w:sz w:val="18"/>
          <w:szCs w:val="18"/>
          <w:color w:val="auto"/>
        </w:rPr>
        <w:t xml:space="preserve"> compared to </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 xml:space="preserve"> for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$(541,211) for year ended December 31, 2025, compared to $(164,014) for year ended December 31, 2024, an increase of $377,197 or 229.98%. The reason for the increase was an increase in payroll expense and bad debt expense which is explained in allowance for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net loss of $335,366 for the year ended December 31, 2025, compared to a net loss of $164,014 for the year ended December 31, 2024, an increase of $171,352, or 104.47%. The increase in net loss was primarily attributable to interest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year ended December 31, 2025 and December 31, 2024, respectively, and provides information regarding the dollar and percentage increase or (decrease) from the current year to the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12/31/25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12/31/24</w:t>
            </w:r>
          </w:p>
        </w:tc>
        <w:tc>
          <w:tcPr>
            <w:tcW w:w="32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Increase/Decrease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(541,211)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(164,014)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377,197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229.98%</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(335,366)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(164,014)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175,352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104.47%</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0.00184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0.00096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.00089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primary sources of liquidity consist of cash on hand, proceeds from financing activities, and collections of principal and interest from loans receivable.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generates revenue primarily through interest income earned on its loan portfolio. Management expects that collections of interest and principal from loans receivable, together with future financing activities, will provide sufficient liquidity to support the Company’s operating activities and lending operations. Historically, we have depended on equity offerings and loans from our principal shareholders and their affiliated companies to provide us with working capital as required. the Company funded its lending activities and operations primarily through a combination of equity issuances and borrowings under promissory note agreements. As of December 31, 2025, the Company had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2,674,670 in notes payable, which were used primarily to fund a potential acquisition as well as provide working capital to fund loans issued to various borrowers under promissory note agreements. There is no guarantee that such funding will be available when required and there can be no assurance that our stockholders, or any of them, will continue making loans or advances to us in the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evaluates capital needs and may seek additional financing through debt or equity issuances in order to expand lending activities, fund strategic acquisitions, or support the development of the PawnTrust digital marketplace.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we had total assets of $2,817,823 and $54. working capital of $1,138 and $54 and an accumulated deficit of $(1,835,034) and $(1,499,668) respectively. Our operating activities used $(95,726) in cash for the year ended December 31, 2025, compared to net cash used in operations of $48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an outstanding loan balance of $307,674 from a related party. The note was due on December 31, 2021 and will accrue interest until paid off. The Company finances a portion of its lending activities through notes payable, which totaled $2,674,670 as of December 31, 2025. These borrowings are used primarily to fund the Company’s loan receivable portfolio and provide working capital for operations. The Company generates revenue through the interest spread between the cost of borrowed funds and the interest earned on loans issued to borrowers. As of December 31, 2025 the loan receivable balance was $2,587,233. which contributes to interest income recognized in the Company’s statement of operations. These loans generally bear interest at an annual rate of approximately 24% and are documented through promissory note agreements. Management expects that collections of principal and interest from these receivables will contribute to the Company’s liquidity and support its ongoing operations. The Company evaluates its loan portfolio on an ongoing basis and maintains an allowance for credit losses in accordance with ASC 326 to reflect potential credit risk associated with its lending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credit risk associated with its loan portfolio on an ongoing basis. Management evaluates borrower payment performance, financial condition, and compliance with loan agreements. As of December 31, 2025, all loans were current and performing in accordance with their contractual terms. The Company has established an allowance for credit losses consistent with the guidance under ASC 326 to address potential future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 but can also have increased defaults on loans when the economy is down.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in accordance with the contractual terms of promissory notes and applicable accounting guidance. Management periodically reviews its estimates and assumptions. Actual results may differ from these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accounts for expected credit losses on loans receivable in accordance with ASC 326 – Financial Instruments – Credit Losses (CECL)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December 31, 2025, the Company recorded an allowance for credit losses equal to approximately 3% of outstanding loan balances. Management determined this allowance based on factors including, the unsecured nature of most loans, borrower concentration, maturity concentration of the loans, historical repayment experience and current economic conditions. Actual credit losses may differ from management’s estimates. These credit losses are expensed on the company’s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53"/>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3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9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6993)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5"/>
        </w:trPr>
        <w:tc>
          <w:tcPr>
            <w:tcW w:w="42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5160" w:type="dxa"/>
            <w:vAlign w:val="bottom"/>
            <w:tcBorders>
              <w:top w:val="single" w:sz="8" w:color="CCEEFF"/>
            </w:tcBorders>
            <w:gridSpan w:val="4"/>
          </w:tcPr>
          <w:p>
            <w:pPr>
              <w:spacing w:after="0"/>
              <w:rPr>
                <w:sz w:val="15"/>
                <w:szCs w:val="15"/>
                <w:color w:val="auto"/>
              </w:rPr>
            </w:pPr>
          </w:p>
        </w:tc>
        <w:tc>
          <w:tcPr>
            <w:tcW w:w="1860" w:type="dxa"/>
            <w:vAlign w:val="bottom"/>
            <w:tcBorders>
              <w:top w:val="single" w:sz="8" w:color="CCEEFF"/>
            </w:tcBorders>
          </w:tcPr>
          <w:p>
            <w:pPr>
              <w:ind w:left="14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9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2025,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3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years ended December 31, 2025, 2024, and 2023</w:t>
            </w:r>
          </w:p>
        </w:tc>
        <w:tc>
          <w:tcPr>
            <w:tcW w:w="1860" w:type="dxa"/>
            <w:vAlign w:val="bottom"/>
          </w:tcPr>
          <w:p>
            <w:pPr>
              <w:ind w:left="14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2025, 2024, and 2023</w:t>
            </w:r>
          </w:p>
        </w:tc>
        <w:tc>
          <w:tcPr>
            <w:tcW w:w="1860" w:type="dxa"/>
            <w:vAlign w:val="bottom"/>
            <w:shd w:val="clear" w:color="auto" w:fill="CCEEFF"/>
          </w:tcPr>
          <w:p>
            <w:pPr>
              <w:ind w:left="14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306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Audited Financial Statements</w:t>
            </w:r>
          </w:p>
        </w:tc>
        <w:tc>
          <w:tcPr>
            <w:tcW w:w="2900" w:type="dxa"/>
            <w:vAlign w:val="bottom"/>
            <w:tcBorders>
              <w:top w:val="single" w:sz="8" w:color="0000EE"/>
            </w:tcBorders>
            <w:gridSpan w:val="4"/>
          </w:tcPr>
          <w:p>
            <w:pPr>
              <w:spacing w:after="0"/>
              <w:rPr>
                <w:sz w:val="15"/>
                <w:szCs w:val="15"/>
                <w:color w:val="auto"/>
              </w:rPr>
            </w:pPr>
          </w:p>
        </w:tc>
        <w:tc>
          <w:tcPr>
            <w:tcW w:w="3420" w:type="dxa"/>
            <w:vAlign w:val="bottom"/>
            <w:tcBorders>
              <w:top w:val="single" w:sz="8" w:color="CCEEFF"/>
            </w:tcBorders>
            <w:gridSpan w:val="2"/>
          </w:tcPr>
          <w:p>
            <w:pPr>
              <w:spacing w:after="0"/>
              <w:rPr>
                <w:sz w:val="15"/>
                <w:szCs w:val="15"/>
                <w:color w:val="auto"/>
              </w:rPr>
            </w:pPr>
          </w:p>
        </w:tc>
        <w:tc>
          <w:tcPr>
            <w:tcW w:w="1860" w:type="dxa"/>
            <w:vAlign w:val="bottom"/>
            <w:tcBorders>
              <w:top w:val="single" w:sz="8" w:color="CCEEFF"/>
            </w:tcBorders>
          </w:tcPr>
          <w:p>
            <w:pPr>
              <w:ind w:left="14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453"/>
        </w:trPr>
        <w:tc>
          <w:tcPr>
            <w:tcW w:w="5900" w:type="dxa"/>
            <w:vAlign w:val="bottom"/>
            <w:tcBorders>
              <w:bottom w:val="single" w:sz="8" w:color="auto"/>
            </w:tcBorders>
            <w:gridSpan w:val="5"/>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have audited the accompanying balance sheets of </w:t>
      </w:r>
      <w:r>
        <w:rPr>
          <w:rFonts w:ascii="Times New Roman" w:cs="Times New Roman" w:eastAsia="Times New Roman" w:hAnsi="Times New Roman"/>
          <w:sz w:val="18"/>
          <w:szCs w:val="18"/>
          <w:b w:val="1"/>
          <w:bCs w:val="1"/>
          <w:color w:val="auto"/>
        </w:rPr>
        <w:t>Superstar Platforms, Inc.</w:t>
      </w:r>
      <w:r>
        <w:rPr>
          <w:rFonts w:ascii="Times New Roman" w:cs="Times New Roman" w:eastAsia="Times New Roman" w:hAnsi="Times New Roman"/>
          <w:sz w:val="18"/>
          <w:szCs w:val="18"/>
          <w:color w:val="auto"/>
        </w:rPr>
        <w:t xml:space="preserve"> as of December 31, 2025 and 2024, and the related statements of operations, changes in stockholders' deficit, and cash flows for each of the two years in the period ended December 31, 2025 and 2024, and the related notes (collectively referred to as the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disclosed in Note 2 to the financial statement, the Company incurred a net loss of $(335,366) and an accumulated deficit of $(1,835,034). These conditions raise substantial doubt about the Company’s ability to continue as a going concern. These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Going Concern Uncertainty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See also Going Concern Uncertainty explanatory paragraph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has significant operating losses and a working capital deficiency. The ability of the Company to continue as a going concern is dependent on obtaining additional working capital funding from the sale of equity and/or debt securities to execute its plans and continue operations. These conditions raise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procedures performed to address the matter included.</w:t>
      </w:r>
    </w:p>
    <w:p>
      <w:pPr>
        <w:spacing w:after="0" w:line="225" w:lineRule="exact"/>
        <w:rPr>
          <w:sz w:val="20"/>
          <w:szCs w:val="20"/>
          <w:color w:val="auto"/>
        </w:rPr>
      </w:pPr>
    </w:p>
    <w:p>
      <w:pPr>
        <w:ind w:left="660" w:right="2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executive officers, and key members of management, of the Company regarding factors that would have an impact on the Company’s ability to continue as a going concern,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plan for addressing the adverse effects of the conditions identified, including assessing the reasonableness of forecasted information and underlying assumptions by comparing to actual results of prior periods and actual results achieved to date, and utilizing our knowledge of the entity, its business and management in considering liquidity needs and the Company’s ability to generate sufficient cash flow,</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possibility of raising additional debt or credit,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disclosures in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Boladale Lawal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Boladale Lawal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Lagos, 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ectPr>
          <w:pgSz w:w="11900" w:h="16838" w:orient="portrait"/>
          <w:cols w:equalWidth="0" w:num="1">
            <w:col w:w="11240"/>
          </w:cols>
          <w:pgMar w:left="320" w:top="229" w:right="339" w:bottom="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Balance Sheets</w:t>
            </w: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56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660" w:type="dxa"/>
            <w:vAlign w:val="bottom"/>
          </w:tcPr>
          <w:p>
            <w:pPr>
              <w:jc w:val="center"/>
              <w:ind w:left="2950"/>
              <w:spacing w:after="0"/>
              <w:rPr>
                <w:sz w:val="20"/>
                <w:szCs w:val="20"/>
                <w:color w:val="auto"/>
              </w:rPr>
            </w:pPr>
            <w:r>
              <w:rPr>
                <w:rFonts w:ascii="Times New Roman" w:cs="Times New Roman" w:eastAsia="Times New Roman" w:hAnsi="Times New Roman"/>
                <w:sz w:val="18"/>
                <w:szCs w:val="18"/>
                <w:color w:val="auto"/>
                <w:w w:val="99"/>
              </w:rPr>
              <w:t>Balance Sheet</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Loan Receivable (L/R)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307,068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2,587,233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Allowance for Bad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(77,617)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1,002,001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Notes Payable (N/P)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2,674,670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6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Interest Payable &amp; Other Payables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129,654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307,674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307,674</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4,113,999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 Deficit:</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value,1,000,000,000 shares authorized:182,289,904 and</w:t>
            </w: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171,731,956 shares issued and outstanding as of December 31, 2025 and December 31,</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182,290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171,732</w:t>
            </w:r>
          </w:p>
        </w:tc>
        <w:tc>
          <w:tcPr>
            <w:tcW w:w="0" w:type="dxa"/>
            <w:vAlign w:val="bottom"/>
          </w:tcPr>
          <w:p>
            <w:pPr>
              <w:spacing w:after="0"/>
              <w:rPr>
                <w:sz w:val="1"/>
                <w:szCs w:val="1"/>
                <w:color w:val="auto"/>
              </w:rPr>
            </w:pPr>
          </w:p>
        </w:tc>
      </w:tr>
      <w:tr>
        <w:trPr>
          <w:trHeight w:val="216"/>
        </w:trPr>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356,568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270,316</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(1,835,034)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(1,296,176</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(1,057,620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2,817,823</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60" w:type="dxa"/>
            <w:vAlign w:val="bottom"/>
            <w:vMerge w:val="restart"/>
          </w:tcPr>
          <w:p>
            <w:pPr>
              <w:jc w:val="center"/>
              <w:ind w:left="2930"/>
              <w:spacing w:after="0"/>
              <w:rPr>
                <w:sz w:val="20"/>
                <w:szCs w:val="20"/>
                <w:color w:val="auto"/>
              </w:rPr>
            </w:pPr>
            <w:r>
              <w:rPr>
                <w:rFonts w:ascii="Times New Roman" w:cs="Times New Roman" w:eastAsia="Times New Roman" w:hAnsi="Times New Roman"/>
                <w:sz w:val="18"/>
                <w:szCs w:val="18"/>
                <w:color w:val="auto"/>
                <w:w w:val="95"/>
              </w:rPr>
              <w:t>F-2</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740" w:type="dxa"/>
            <w:vAlign w:val="bottom"/>
            <w:gridSpan w:val="2"/>
          </w:tcPr>
          <w:p>
            <w:pPr>
              <w:jc w:val="center"/>
              <w:ind w:right="770"/>
              <w:spacing w:after="0"/>
              <w:rPr>
                <w:sz w:val="20"/>
                <w:szCs w:val="20"/>
                <w:color w:val="auto"/>
              </w:rPr>
            </w:pPr>
            <w:r>
              <w:rPr>
                <w:rFonts w:ascii="Times New Roman" w:cs="Times New Roman" w:eastAsia="Times New Roman" w:hAnsi="Times New Roman"/>
                <w:sz w:val="18"/>
                <w:szCs w:val="18"/>
                <w:color w:val="auto"/>
              </w:rPr>
              <w:t>Statement of Operations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4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159,804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45,407</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Expense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336,000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29"/>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30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164,014</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(541,211)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(164,014)</w:t>
            </w: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307,068</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(101,223)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205,845</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(335,366)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(164,014)</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7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(335,366)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(164,014)</w:t>
            </w:r>
          </w:p>
        </w:tc>
      </w:tr>
      <w:tr>
        <w:trPr>
          <w:trHeight w:val="216"/>
        </w:trPr>
        <w:tc>
          <w:tcPr>
            <w:tcW w:w="1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0.0096</w:t>
            </w:r>
          </w:p>
        </w:tc>
      </w:tr>
      <w:tr>
        <w:trPr>
          <w:trHeight w:val="216"/>
        </w:trPr>
        <w:tc>
          <w:tcPr>
            <w:tcW w:w="1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Weighted Average Number of Common Shares Outstanding:</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182,289,904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171,731,956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jc w:val="center"/>
              <w:ind w:right="770"/>
              <w:spacing w:after="0"/>
              <w:rPr>
                <w:sz w:val="20"/>
                <w:szCs w:val="20"/>
                <w:color w:val="auto"/>
              </w:rPr>
            </w:pPr>
            <w:r>
              <w:rPr>
                <w:rFonts w:ascii="Times New Roman" w:cs="Times New Roman" w:eastAsia="Times New Roman" w:hAnsi="Times New Roman"/>
                <w:sz w:val="18"/>
                <w:szCs w:val="18"/>
                <w:color w:val="auto"/>
                <w:w w:val="95"/>
              </w:rPr>
              <w:t>F-3</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on January 01, 2023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28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as of January 1, 2024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28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as of January 1, 2025 </w:t>
      </w:r>
      <w:r>
        <w:rPr>
          <w:rFonts w:ascii="Times New Roman" w:cs="Times New Roman" w:eastAsia="Times New Roman" w:hAnsi="Times New Roman"/>
          <w:sz w:val="18"/>
          <w:szCs w:val="18"/>
          <w:color w:val="auto"/>
        </w:rPr>
        <w:t>Shares Issued during the Period Net Loss for the Year</w:t>
      </w: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0"/>
        <w:spacing w:after="0" w:line="268" w:lineRule="auto"/>
        <w:rPr>
          <w:sz w:val="20"/>
          <w:szCs w:val="20"/>
          <w:color w:val="auto"/>
        </w:rPr>
      </w:pPr>
      <w:r>
        <w:rPr>
          <w:rFonts w:ascii="Times New Roman" w:cs="Times New Roman" w:eastAsia="Times New Roman" w:hAnsi="Times New Roman"/>
          <w:sz w:val="18"/>
          <w:szCs w:val="18"/>
          <w:b w:val="1"/>
          <w:bCs w:val="1"/>
          <w:color w:val="auto"/>
        </w:rPr>
        <w:t>SUPERSTAR PLATFORMS, INC Statement of Stockholder’s Equity For the Year Ended December 31, 2023 thru December 31, 2025</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20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540" w:type="dxa"/>
            <w:vAlign w:val="bottom"/>
            <w:gridSpan w:val="3"/>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200" w:type="dxa"/>
            <w:vAlign w:val="bottom"/>
            <w:gridSpan w:val="3"/>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Paid in Capital</w:t>
            </w:r>
          </w:p>
        </w:tc>
        <w:tc>
          <w:tcPr>
            <w:tcW w:w="200" w:type="dxa"/>
            <w:vAlign w:val="bottom"/>
          </w:tcPr>
          <w:p>
            <w:pPr>
              <w:spacing w:after="0"/>
              <w:rPr>
                <w:sz w:val="20"/>
                <w:szCs w:val="20"/>
                <w:color w:val="auto"/>
              </w:rPr>
            </w:pPr>
          </w:p>
        </w:tc>
        <w:tc>
          <w:tcPr>
            <w:tcW w:w="13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600" w:type="dxa"/>
            <w:vAlign w:val="bottom"/>
            <w:tcBorders>
              <w:top w:val="single" w:sz="8" w:color="auto"/>
            </w:tcBorders>
            <w:gridSpan w:val="2"/>
          </w:tcPr>
          <w:p>
            <w:pPr>
              <w:jc w:val="right"/>
              <w:ind w:right="360"/>
              <w:spacing w:after="0" w:line="191" w:lineRule="exact"/>
              <w:rPr>
                <w:sz w:val="20"/>
                <w:szCs w:val="20"/>
                <w:color w:val="auto"/>
              </w:rPr>
            </w:pPr>
            <w:r>
              <w:rPr>
                <w:rFonts w:ascii="Times New Roman" w:cs="Times New Roman" w:eastAsia="Times New Roman" w:hAnsi="Times New Roman"/>
                <w:sz w:val="18"/>
                <w:szCs w:val="18"/>
                <w:color w:val="auto"/>
              </w:rPr>
              <w:t>132,731,956</w:t>
            </w:r>
          </w:p>
        </w:tc>
        <w:tc>
          <w:tcPr>
            <w:tcW w:w="600" w:type="dxa"/>
            <w:vAlign w:val="bottom"/>
            <w:tcBorders>
              <w:top w:val="single" w:sz="8" w:color="auto"/>
            </w:tcBorders>
          </w:tcPr>
          <w:p>
            <w:pPr>
              <w:jc w:val="right"/>
              <w:ind w:right="4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ind w:left="500"/>
              <w:spacing w:after="0" w:line="191" w:lineRule="exact"/>
              <w:rPr>
                <w:sz w:val="20"/>
                <w:szCs w:val="20"/>
                <w:color w:val="auto"/>
              </w:rPr>
            </w:pPr>
            <w:r>
              <w:rPr>
                <w:rFonts w:ascii="Times New Roman" w:cs="Times New Roman" w:eastAsia="Times New Roman" w:hAnsi="Times New Roman"/>
                <w:sz w:val="18"/>
                <w:szCs w:val="18"/>
                <w:color w:val="auto"/>
                <w:w w:val="95"/>
              </w:rPr>
              <w:t>287,268</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(1,211,994)</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(791,944)</w:t>
            </w:r>
          </w:p>
        </w:tc>
        <w:tc>
          <w:tcPr>
            <w:tcW w:w="60" w:type="dxa"/>
            <w:vAlign w:val="bottom"/>
            <w:gridSpan w:val="2"/>
          </w:tcPr>
          <w:p>
            <w:pPr>
              <w:spacing w:after="0"/>
              <w:rPr>
                <w:sz w:val="16"/>
                <w:szCs w:val="16"/>
                <w:color w:val="auto"/>
              </w:rPr>
            </w:pP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22,000,000</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22,000</w:t>
            </w: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(123,660)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(123660)</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154,731,956</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287,268</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(1,335,654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154,731,956</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287,268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(1,335,654)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(893,654)</w:t>
            </w: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17,000,000</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(16,952)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(164,014)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(164,014)</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171,731,956</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270,316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(1,057,620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171,731,956</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270,316</w:t>
            </w:r>
          </w:p>
        </w:tc>
        <w:tc>
          <w:tcPr>
            <w:tcW w:w="200" w:type="dxa"/>
            <w:vAlign w:val="bottom"/>
          </w:tcPr>
          <w:p>
            <w:pPr>
              <w:spacing w:after="0"/>
              <w:rPr>
                <w:sz w:val="24"/>
                <w:szCs w:val="24"/>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(1,499,668)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(1,057,620)</w:t>
            </w:r>
          </w:p>
        </w:tc>
      </w:tr>
      <w:tr>
        <w:trPr>
          <w:trHeight w:val="216"/>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10,557,948</w:t>
            </w: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86,252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96,810</w:t>
            </w:r>
          </w:p>
        </w:tc>
      </w:tr>
      <w:tr>
        <w:trPr>
          <w:trHeight w:val="248"/>
        </w:trPr>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(335,366)</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(335,366)</w:t>
            </w:r>
          </w:p>
        </w:tc>
      </w:tr>
      <w:tr>
        <w:trPr>
          <w:trHeight w:val="223"/>
        </w:trPr>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182,289,904</w:t>
            </w: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356,568</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(1,835,034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(1,296,176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-2356485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-2073910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-1765300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-1473835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-1190625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-873760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60" w:space="620"/>
            <w:col w:w="8020"/>
          </w:cols>
          <w:pgMar w:left="320" w:top="229" w:right="3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Statements of Cash Flows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550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550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Statement of Cash Flows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(335,366)</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(164,014)</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Allowance for Bad Debt</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307,674</w:t>
            </w: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 Receivable (L/R)</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(2,587,233)</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Receivable (L/R):Accrued Interest Receivable</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(307,068)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Loans to officers</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to others</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Notes Payable (N/P)</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2,584,670</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Payable (N/P):Interest Payable &amp; Other Payables</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129,654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Payables</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Payable</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336,000</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09"/>
        </w:trPr>
        <w:tc>
          <w:tcPr>
            <w:tcW w:w="6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Adjustments to reconcile Net Income to Net Cash provided by operations:</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239,640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437,674</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273,659</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(794,821)</w:t>
            </w:r>
          </w:p>
        </w:tc>
      </w:tr>
      <w:tr>
        <w:trPr>
          <w:trHeight w:val="216"/>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3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86,252</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349,478</w:t>
            </w:r>
          </w:p>
        </w:tc>
      </w:tr>
      <w:tr>
        <w:trPr>
          <w:trHeight w:val="216"/>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10,558</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171,732</w:t>
            </w:r>
          </w:p>
        </w:tc>
      </w:tr>
      <w:tr>
        <w:trPr>
          <w:trHeight w:val="209"/>
        </w:trPr>
        <w:tc>
          <w:tcPr>
            <w:tcW w:w="6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INCREASE FOR PERIOD</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Borders>
              <w:bottom w:val="single" w:sz="8" w:color="CCEEFF"/>
            </w:tcBorders>
          </w:tcPr>
          <w:p>
            <w:pPr>
              <w:spacing w:after="0"/>
              <w:rPr>
                <w:sz w:val="18"/>
                <w:szCs w:val="18"/>
                <w:color w:val="auto"/>
              </w:rPr>
            </w:pPr>
          </w:p>
        </w:tc>
      </w:tr>
      <w:tr>
        <w:trPr>
          <w:trHeight w:val="209"/>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8"/>
                <w:szCs w:val="18"/>
                <w:color w:val="auto"/>
              </w:rPr>
            </w:pPr>
          </w:p>
        </w:tc>
      </w:tr>
      <w:tr>
        <w:trPr>
          <w:trHeight w:val="232"/>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00" w:type="dxa"/>
            <w:vAlign w:val="bottom"/>
          </w:tcPr>
          <w:p>
            <w:pPr>
              <w:spacing w:after="0"/>
              <w:rPr>
                <w:sz w:val="20"/>
                <w:szCs w:val="20"/>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r>
      <w:tr>
        <w:trPr>
          <w:trHeight w:val="410"/>
        </w:trPr>
        <w:tc>
          <w:tcPr>
            <w:tcW w:w="12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jc w:val="center"/>
              <w:ind w:left="3090"/>
              <w:spacing w:after="0"/>
              <w:rPr>
                <w:sz w:val="20"/>
                <w:szCs w:val="20"/>
                <w:color w:val="auto"/>
              </w:rPr>
            </w:pPr>
            <w:r>
              <w:rPr>
                <w:rFonts w:ascii="Times New Roman" w:cs="Times New Roman" w:eastAsia="Times New Roman" w:hAnsi="Times New Roman"/>
                <w:sz w:val="18"/>
                <w:szCs w:val="18"/>
                <w:color w:val="auto"/>
                <w:w w:val="95"/>
              </w:rPr>
              <w:t>F-5</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Audited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(“Superstar Platforms,” the “Company,” “we,” “us,” or “our”) was incorporated on March 27, 2025, under the laws of the State of Nevada. The Company is a technology-focused holding company that seeks to build, acquire, and scale businesses across multiple industries through strategic acquisitions and technology-driven platforms.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operates as the parent company of a diversified portfolio of subsidiaries and strategic initiatives. The Company’s business strategy is centered on identifying and acquiring businesses that can benefit from centralized capital resources, operational support, and technology infrastructure. Through this model, the Company intends to provide strategic capital, management expertise, and technological innovation designed to support the growth and development of its subsidiaries and operating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component of the Company’s strategy is the development of technology-enabled marketplaces and financial services platforms capable of generating scalable and recurring revenue streams. One of the Company’s primary initiatives is the development of PawnTrust, a digital marketplace designed to connect pawn shops and consumers through a mobile-based platform. PawnTrust is intended to enable pawn shops to digitize their inventory and facilitate borrowing, buying, and bartering transactions through an integrated online marketplace. Management believes that the PawnTrust platform has the potential to modernize and expand access to the pawn industry by providing a technology-driven solution for inventory management and consumer transactions.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its technology development initiatives, the Company currently generates revenue primarily through interest income earned on promissory notes issued to both related and unrelated parties. These lending activities are intended to support strategic relationships, provide working capital to affiliated and third-party businesses, and generate recurring interest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objective is to build a diversified technology and investment platform that combines strategic capital deployment, technology innovation, and disciplined acquisition strategy to create scalable operating businesses and long-term shareholder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 is located in Marietta, Georgia.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December 31, 2025 have been prepared using generally accepted accounting principles in the United States of America applicable to a going concern, which contemplates the realization of assets and liquidation of liabilities in the normal course of business. The Company has accumulated deficit of $(1,835,034) as of December 31, 2025, the company currently does not have a business operation, these factors raise substantial doubt about company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receivable represent promissory notes issued to both related and non-related parties. These loans bear fixed interest rates and generally require monthly interest payments with principal due at maturity. Loans are recorded at the principal amount outstanding, net of any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expected credit losses in accordance with ASC 326 – Financial Instruments – Credit Losses (CECL). Management evaluates the collectability of loans receivable and records an allowance for expected credit losses based on factors including borrower credit quality, loan concentration, economic conditions, and historical repayment experience. As of December 31, 2025, the Company recorded an allowance for credit losses 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under ASC 842, Leases. The Company has elected the short-term lease exemption for leases with a term of twelve months or less. Under this election, right-of-use assets and lease liabilities are not recognized on the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December 31, 2025.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 ended December 31, 2025, the Company did not have any interest and penalties associated with tax positions. As of December 31, 2025, the Company did not have any significant unrecognized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a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directly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upon loaning the money to the customer and is accrued on a monthly basis at the rate of 2% simple interest on the loan amount receivable from the customer.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as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common stock outstanding of 182,289,904 as of December 31, 2025 and record of holders was 204.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 RECEIVABLE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receivable represent funds advanced by the Company pursuant to executed promissory notes. The loans accrue interest monthly, are interest only, unsecured and all mature December 31, 2026. As of December 31, 2025, all loans were 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Total Loans Receivable: </w:t>
      </w:r>
      <w:r>
        <w:rPr>
          <w:rFonts w:ascii="Times New Roman" w:cs="Times New Roman" w:eastAsia="Times New Roman" w:hAnsi="Times New Roman"/>
          <w:sz w:val="18"/>
          <w:szCs w:val="18"/>
          <w:b w:val="1"/>
          <w:bCs w:val="1"/>
          <w:color w:val="auto"/>
        </w:rPr>
        <w:t>$2,587,233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expected credit losses in accordance with ASC 326 – Financial Instruments – Credit Losses (CECL). Management evaluates the collectability of loans receivable and records an allowance for expected credit losses based on factors including borrower credit quality, loan concentration, economic conditions, and historical repayment experience. As of December 31, 2025, the Company recorded an allowance for credit losses equal to approximately 3% of outstanding loan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Allowance for Credit loss-$77,617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QUALITY INDICATORS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monitors borrower credit quality through payment history, borrower financial condition and compliance with loan terms. As of December 31,2025 all loans were performing.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NONACCRUAL AND PAST DUE LOANS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places loans on nonaccrual status when collection is uncertain. As of December 31, 2025 no loans were past due, impaired or on nonaccrual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NOTES PAYABLE, INTEREST PAYABLE &amp; OTHER PAYABLES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Notes payable represent borrowings incurred by the Company to finance acquisitions, support working capital, and fund ongoing operations. These notes bear fixed interest rates and have specified maturity dates in accordance with the underlying agreements. As of December 31, 2025, total notes payable amounted to $2,674,670.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payable represents the accrued interest on outstanding notes payable and is recognized as an expense in the Company’s statement of operations.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payables consist of accrued fee expenses, including a success fee that is contingent upon the closing of a potential acquisition. This fee is amortized over the term of the related notes payable, with initial recognition recorded as fee expense in the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loans receivable and notes payable involve entities affiliated with the Company’s Chief Executive Officer. These transactions are conducted pursuant to written promissory notes and formal lending agreements that specify principal amounts, interest rates, repayment terms, and other customary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same underwriting standards, credit evaluation procedures, and approval processes to related-party transactions as it does to loans issued to unrelated third parties. Management evaluates borrower creditworthiness, repayment capacity, and other relevant risk factors prior to extending credit.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repayment terms, and other contractual provisions associated with these related-party transactions are consistent with the Company’s general lending practices and are believed to be comparable to terms that would be obtained in similar transactions with unaffiliated borrowers. Management believes these transactions were entered into on commercially reasonable terms and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Receivables- $1,638,233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Related Party Payables-$482,644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research and development expenses related to the development of the PawnTrust digital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proprietary intellectual property associated with the PawnTrust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office space located in Marietta, Georgia. The lease term is twelve months, with monthly rent of $500, resulting in annual lease payments of approximately $6,000. The Company has elected the short-term lease exemption under ASC 842, and therefore does not recognize right-of-use assets or lease liabilities for this lease. Rent expense is recognized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 (ASC 280)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one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we have carried out an evaluation of the effectiveness of our disclosure controls and procedures as of the end of the period covered by this annual report, December 31, 2025. This evaluation was carried out by our Chief Executive Officer.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including our Chief Executive Officer, we have concluded that our disclosure controls and procedures were ineffective as of the end of the period covered by this report due to a material weakness in our internal control over financial reporting, which is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December 31, 2025 based on criteria established in Internal Control-Integrated Framework issued by the Committee of Sponsoring Organizations of the Treadway Commission. As a result of this assessment, management concluded that, as of December 31, 2025, our internal control over financial reporting was not effective. Our management identified the following material weaknesses in our internal control over financial reporting, which are indicative of many small companies with small staff: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take steps to enhance and improve the design of our internal control over financial reporting. During the period covered by this annual report on Form 10-K, we have not been able to remediate the material weaknesses identified above. To remediate such weaknesses, we hope to implement the following changes during our fiscal year ending December 31, 2025: (i) appoint additional qualified personnel to address inadequate segregation of duties and ineffective risk management; and (ii) adopt sufficient written policies and procedures for accounting and financial reporting. The remediation efforts set out in (i) and (ii) are largely dependent upon our securing additional financing to cover the costs of implementing the changes required. If we are unsuccessful in securing such funds, remediation efforts may be adversely affected in a material manner.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certain extent, the size of our operation provides inherent checks and balances relative to internal controls: Because of our limited staff size and the integration of our executives and directors in operations, the prospect for significant internal control failures resulting in unreliable financial statements or worse is remote. Regardless, we recognize the importance of multiple layers of reporting and controls and are working toward improving our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 Disclosure Regarding Foreign Jurisdiction That Prevents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of our initial directors and executive officers who currently serve on the Board of Directors for Superstar Platforms Inc. Directors will be elected annually.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0"/>
                <w:szCs w:val="20"/>
                <w:color w:val="auto"/>
              </w:rPr>
            </w:pPr>
          </w:p>
        </w:tc>
        <w:tc>
          <w:tcPr>
            <w:tcW w:w="538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Farr</w:t>
            </w:r>
          </w:p>
        </w:tc>
        <w:tc>
          <w:tcPr>
            <w:tcW w:w="2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Director, Chair-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 Ware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Washington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Tanja Oquendo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Rayman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Darryl Jackson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Farr is married to Christina Farr and is the brother of Mel Farr,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Farr is married to Michael Farr and is the sister in law of Mel Farr,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Farr, Jr is the brother of Mel Farr, Jr., and the brother in law of Christina Farr.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last ten years, none of the directors have filed for bankruptcy, nor have been convicted in a criminal proceeding or was a named subject of a pending criminal proceeding (excluding traffic violations and other minor offenses).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None of the directors was the subject of any order, judgment, or decree, not subsequently reversed, suspended or vacated, of any court of competent jurisdiction, permanently or temporarily enjoining him from, or otherwise limiting, the following activities: (i) Acting as a futures commission merchant, introducing broker, commodity trading advisor, commodity pool </w:t>
      </w:r>
      <w:r>
        <w:rPr>
          <w:rFonts w:ascii="Times New Roman" w:cs="Times New Roman" w:eastAsia="Times New Roman" w:hAnsi="Times New Roman"/>
          <w:sz w:val="18"/>
          <w:szCs w:val="18"/>
          <w:u w:val="single" w:color="auto"/>
          <w:color w:val="auto"/>
        </w:rPr>
        <w:t>operator</w:t>
      </w:r>
      <w:r>
        <w:rPr>
          <w:rFonts w:ascii="Times New Roman" w:cs="Times New Roman" w:eastAsia="Times New Roman" w:hAnsi="Times New Roman"/>
          <w:sz w:val="18"/>
          <w:szCs w:val="18"/>
          <w:color w:val="auto"/>
        </w:rPr>
        <w:t xml:space="preserve">, floor broker, leverage transaction merchant, any other person regulated by the Commodity Futures Trading Commission, or an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person of any of the foregoing, or as an investment adviser,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xml:space="preserve">, broker or dealer in securities, or as an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xml:space="preserve"> person, director or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of any investment company, bank, savings and loan association or insurance company, or engaging in or continuing any conduct or practice in connection with such activity;</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Engaging in any type of business practice; or</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Engaging in any activity in connection with the purchase or sale of any security or commodity or in connection with any violation of Federal or State securities laws or Federal commodities laws.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the last ten years, none of the directors were the subject of any order, judgment or decree, not subsequently reversed, suspended or vacated, of any Federal or State authority barring, suspending or otherwise limiting for more than 60 days the right of such person to engage in any activity described in </w:t>
      </w:r>
      <w:r>
        <w:rPr>
          <w:rFonts w:ascii="Times New Roman" w:cs="Times New Roman" w:eastAsia="Times New Roman" w:hAnsi="Times New Roman"/>
          <w:sz w:val="18"/>
          <w:szCs w:val="18"/>
          <w:u w:val="single" w:color="auto"/>
          <w:color w:val="auto"/>
        </w:rPr>
        <w:t>paragraph (f)(3)(i)</w:t>
      </w:r>
      <w:r>
        <w:rPr>
          <w:rFonts w:ascii="Times New Roman" w:cs="Times New Roman" w:eastAsia="Times New Roman" w:hAnsi="Times New Roman"/>
          <w:sz w:val="18"/>
          <w:szCs w:val="18"/>
          <w:color w:val="auto"/>
        </w:rPr>
        <w:t xml:space="preserve"> of this section, or to be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with persons engaged in any such activity.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Commission to have violated any Federal or State securities law, and the judgment in such civil action or finding by the Commission has not been subsequently reversed, suspended, or vacated.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last ten years, none of the directors were the subject of, or a party to, any Federal or State judicial or administrative order, judgment, decree, or finding, not subsequently reversed, suspended or vacated, relating to an alleged violation of:(i) Any Federal or State securities or commodities law or regulation; or(ii)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or(iii) any law or regulation prohibiting mail or wire fraud or fraud in connection with any business entity.</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the last ten years, none of the directors were the subject of, or a party to, any sanction or order, not subsequently reversed, suspended or vacated, of any self-regulatory organization (as defined in Section 3(a)(26) of the </w:t>
      </w:r>
      <w:r>
        <w:rPr>
          <w:rFonts w:ascii="Times New Roman" w:cs="Times New Roman" w:eastAsia="Times New Roman" w:hAnsi="Times New Roman"/>
          <w:sz w:val="18"/>
          <w:szCs w:val="18"/>
          <w:u w:val="single" w:color="auto"/>
          <w:color w:val="auto"/>
        </w:rPr>
        <w:t>Exchange Act (15 U.S.C. 78c(a)(26)))</w:t>
      </w:r>
      <w:r>
        <w:rPr>
          <w:rFonts w:ascii="Times New Roman" w:cs="Times New Roman" w:eastAsia="Times New Roman" w:hAnsi="Times New Roman"/>
          <w:sz w:val="18"/>
          <w:szCs w:val="18"/>
          <w:color w:val="auto"/>
        </w:rPr>
        <w:t>, any registered entity (as defined in Section 1(a)</w:t>
      </w:r>
    </w:p>
    <w:p>
      <w:pPr>
        <w:ind w:firstLine="8"/>
        <w:spacing w:after="0" w:line="260" w:lineRule="auto"/>
        <w:tabs>
          <w:tab w:leader="none" w:pos="3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u w:val="single" w:color="auto"/>
          <w:color w:val="auto"/>
        </w:rPr>
        <w:t>Commodity Exchange Act (7 U.S.C. 1(a)(29)))</w:t>
      </w:r>
      <w:r>
        <w:rPr>
          <w:rFonts w:ascii="Times New Roman" w:cs="Times New Roman" w:eastAsia="Times New Roman" w:hAnsi="Times New Roman"/>
          <w:sz w:val="18"/>
          <w:szCs w:val="18"/>
          <w:color w:val="auto"/>
        </w:rPr>
        <w:t xml:space="preserve">, or any equivalent exchange, association, entity or organization that has disciplinary authority over its members or persons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with a member.</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agreements with respect to electing directors. Each director shall serve until his successor is elected at our Annual Meeting of Shareholders and is qualified, subject to removal by Superstar Platforms Inc.’s shareholders. The Board of Directors appoints officers annually and each executive officer serves at the discretion of the Board of Directors. Superstar Platforms Inc. does not have any standing board committees currently, and due to its small size does not believe that committees are necessary currently. As of the date of this filing our two directors fulfill the duties of the audit committee. None of the directors held any directorships during the past five years in any company with a class of securities registered pursuant to Section 12 of the Exchange Act or subject to the requirements of Section 15(d) of such act, or of any company registered as an investment company under the Investment Company Act of 1940.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executive officers: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46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1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8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Operations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are appointed by the Board of Directors and serve at the discretion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 compensation committee, and it does not have an audit committee financial expert. It does not have a compensation committee. There is no independent audit committee financial expert because it is believed the cost related to retaining a financial expert at this time is prohibitive in the circumstances of the Company. A financial expert will be retained when the financial circumstances allow.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Farr receives $10,000.00 per month in compensation during the fiscal year of 2025. Mrs. Farr owns 54.8% of the common stock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 is married to Michael Farr who is Chairman and a Chief Executive Officer. Mrs. Farr has a total of $770,000 in accrued wages starting in August 2019.</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Farr, Chairman and Chief Executive Officer received a salary of $10,000.00 per month in the fiscal year of 2025. Michael Farr is owed 130,000 in accrued wages. Michael Farr owns no shares of Company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Mel Farr, Jr., Director, and Chief Executive Officer received a salary of $8,000.00 per month in the fiscal year of 2025. Mel Farr, Jr is owed $96, 000 in accrued wages. He is the brother of Michael Farr and the brother-in-law of Christina Farr. He owns 6.58% of the outstanding common shares in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contract, agreement, plan or arrangement, whether written or unwritten, that provides for payments to our directors or executive officers at, following, or in connection with the resignation, retirement or other termination of our directors or executive officers, or a change in control of our company or a change in our directors’ or executive officers’ responsibilities following a change in control.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employment Agreements and no option grants have been exercised by the executive officers or directors and there have been no stock options exercised by the executive officers or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December 31, 2025, information regarding beneficial ownership of our capital stock by:</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any class of our voting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Securities and Exchange Commission (the “SEC”) and generally means that a person has beneficial ownership of a security if he, she, or it possesses sole or shared voting or investment power of that security, including convertible securities, warrants and options that are convertible or exercisable within 60 days. Except as indicated by the footnotes below, we believe, based on the information furnished to us, that the persons named in the table below have sole voting and investment power with respect to all shares shown that they beneficially own, subject to community property laws where applicable. The address for each of our executive officers and directors is c/o Superstar Platforms Inc. 586 Cobb Parkway S Suite 900, Marietta, GA 30060.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 Shares in</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2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8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 of</w:t>
            </w:r>
          </w:p>
        </w:tc>
      </w:tr>
      <w:tr>
        <w:trPr>
          <w:trHeight w:val="238"/>
        </w:trPr>
        <w:tc>
          <w:tcPr>
            <w:tcW w:w="29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2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160" w:type="dxa"/>
            <w:vAlign w:val="bottom"/>
            <w:tcBorders>
              <w:bottom w:val="single" w:sz="8" w:color="CCEEFF"/>
            </w:tcBorders>
          </w:tcPr>
          <w:p>
            <w:pPr>
              <w:spacing w:after="0"/>
              <w:rPr>
                <w:sz w:val="20"/>
                <w:szCs w:val="20"/>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MacFund Holdings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Moore aka</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395"/>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586 Cobb Parkway S Suite 900,</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Marietta, GA 30060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4"/>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Farr is the spouse of</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Farr, and the Sister in Law</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of Mel Farr, Jr.</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4"/>
        </w:trPr>
        <w:tc>
          <w:tcPr>
            <w:tcW w:w="2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Farr is the CEO and CFO of the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34"/>
        </w:trPr>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Convenient Gourmet</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12,196,216</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Larry Clark</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5334 Achilles Drive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Beach, VA 23464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Melvin Farr, Jr</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12,000,000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Venkateswarlu Garikapati</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10,000,000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36223 Ohan Drive</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Irving, TX 75063</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Tanja Oquendo</w:t>
            </w:r>
          </w:p>
        </w:tc>
        <w:tc>
          <w:tcPr>
            <w:tcW w:w="2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12,000,000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182,289,904 shares of Common Stock issued and outstanding as of December 31, 2025, and additional shares deemed to be outstanding as to a particular person, in accordance with applicable rules of the SEC. Beneficial ownership is determined in accordance with SEC rules to generally include shares of Common Stock subject to options or issuable upon conversion of convertible securities or exercise of warrants, and such shares are deemed outstanding for computing the percentage of the person holding such options, securities or warrants, but are not deemed outstanding for computing the percentage of any other person. This table assumes the Company has sufficient authorized shares of Common Stock available to permit the conversion of all outstanding convertible securities and the exercise of all outstanding warrants and options.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one class of voting securities, the Common Stock,</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Change-in-Control</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We do not currently have, nor are we aware of, any arrangements which if consummated may result in a change of control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is owed $ 130,000 for accrued wages. Christina Farr is owed $770,000 for her accrued wages. Mel Farr Jr. is owed $ 96,000 for accrued wages. No other officer or director are owed any funds by Superstar Platforms Inc. currently and have no plans to loan any funds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Tanja Oquendo owns 6.58% of the outstanding common stock and is an affiliate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Farr, Mel Farr, Jr. Christina Farr and Tanja Oquendo are not independent directors. The remaining directors are independent directors. They have no material relationship with the Company that would compromise their judgment or objectivity in overseeing the Company’s management.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enter into transactions with its officers, directors, or entities affiliated with such persons. These transactions may include loans receivable, notes payable, compensation arrangements, and other financial relationships that arise in the ordinary course of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loans receivable have been issued to entities affiliated with the Company’s Chief Executive Officer. These loans are documented through written promissory notes that specify principal amounts, interest rates, repayment terms, and other customary provisions. The Company applies the same underwriting standards, credit evaluation procedures, and approval processes to related-party transactions as it does to loans issued to unrelated third parties. Management evaluates borrower creditworthiness, repayment capacity, and other relevant risk factors prior to extending credit.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repayment terms, and other contractual provisions associated with these related-party loans are consistent with the Company’s general lending practices and are believed to be comparable to terms that would be obtained in similar transactions with unaffiliated borrowers. Management believes these transactions were entered into on commercially reasonable terms and in the ordinary course of business.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certain notes payable include borrowings from parties that have business relationships with the Company. These borrowings were executed pursuant to written agreements and were approved by the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Executive compensation arrangements with certain officers were also approved by the Board of Directors and are structured to accrue compensation until such time as the Company has sufficient working capital to make payments. These arrangements are disclosed in </w:t>
      </w:r>
      <w:r>
        <w:rPr>
          <w:rFonts w:ascii="Times New Roman" w:cs="Times New Roman" w:eastAsia="Times New Roman" w:hAnsi="Times New Roman"/>
          <w:sz w:val="18"/>
          <w:szCs w:val="18"/>
          <w:u w:val="single" w:color="auto"/>
          <w:color w:val="0000EE"/>
        </w:rPr>
        <w:t>Item 11 – Executive Compensation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related-party transactions are reviewed by the Company’s Board of Directors to ensure that such transactions are conducted on terms that are fair to the Company and consistent with the Company’s overall business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the Company for the fiscal years ended December 31, 2025 and 2024 by the Company’s independent registered public accounting firm.</w:t>
      </w:r>
    </w:p>
    <w:p>
      <w:pPr>
        <w:spacing w:after="0" w:line="171" w:lineRule="exact"/>
        <w:rPr>
          <w:sz w:val="20"/>
          <w:szCs w:val="20"/>
          <w:color w:val="auto"/>
        </w:rPr>
      </w:pPr>
    </w:p>
    <w:tbl>
      <w:tblPr>
        <w:tblLayout w:type="fixed"/>
        <w:tblInd w:w="2820" w:type="dxa"/>
        <w:tblCellMar>
          <w:top w:w="0" w:type="dxa"/>
          <w:left w:w="0" w:type="dxa"/>
          <w:bottom w:w="0" w:type="dxa"/>
          <w:right w:w="0" w:type="dxa"/>
        </w:tblCellMar>
      </w:tblPr>
      <w:tr>
        <w:trPr>
          <w:trHeight w:val="238"/>
        </w:trPr>
        <w:tc>
          <w:tcPr>
            <w:tcW w:w="3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0"/>
                <w:szCs w:val="20"/>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by the Company’s independent registered public accounting firm for the audit of the Company’s annual financial statements and the review of financial statements included in the Company’s periodic reports.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responsible for reviewing and approving all audit and permissible non-audit services performed by the Company’s independent registered public accounting firm. The Board reviews the scope of services and related fees to ensure that the provision of such services does not impair the independence of the Company’s independent auditors.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29"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of the Company and notes thereto and the Report of Independent Registered Public Accounting Firm are contained in Item 8 — Financial Statements and Supplementary Data of this Form 10-K, which is incorporated herein by reference.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00" w:type="dxa"/>
            <w:vAlign w:val="bottom"/>
            <w:shd w:val="clear" w:color="auto" w:fill="CCEEFF"/>
          </w:tcPr>
          <w:p>
            <w:pPr>
              <w:spacing w:after="0"/>
              <w:rPr>
                <w:sz w:val="19"/>
                <w:szCs w:val="19"/>
                <w:color w:val="auto"/>
              </w:rPr>
            </w:pPr>
          </w:p>
        </w:tc>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9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F-1</w:t>
            </w:r>
          </w:p>
        </w:tc>
      </w:tr>
      <w:tr>
        <w:trPr>
          <w:trHeight w:val="176"/>
        </w:trPr>
        <w:tc>
          <w:tcPr>
            <w:tcW w:w="1300" w:type="dxa"/>
            <w:vAlign w:val="bottom"/>
            <w:tcBorders>
              <w:top w:val="single" w:sz="8" w:color="CCEEFF"/>
            </w:tcBorders>
          </w:tcPr>
          <w:p>
            <w:pPr>
              <w:spacing w:after="0"/>
              <w:rPr>
                <w:sz w:val="15"/>
                <w:szCs w:val="15"/>
                <w:color w:val="auto"/>
              </w:rPr>
            </w:pPr>
          </w:p>
        </w:tc>
        <w:tc>
          <w:tcPr>
            <w:tcW w:w="42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3780" w:type="dxa"/>
            <w:vAlign w:val="bottom"/>
            <w:tcBorders>
              <w:top w:val="single" w:sz="8" w:color="CCEEFF"/>
            </w:tcBorders>
            <w:gridSpan w:val="4"/>
          </w:tcPr>
          <w:p>
            <w:pPr>
              <w:spacing w:after="0"/>
              <w:rPr>
                <w:sz w:val="15"/>
                <w:szCs w:val="15"/>
                <w:color w:val="auto"/>
              </w:rPr>
            </w:pPr>
          </w:p>
        </w:tc>
        <w:tc>
          <w:tcPr>
            <w:tcW w:w="1940" w:type="dxa"/>
            <w:vAlign w:val="bottom"/>
            <w:tcBorders>
              <w:top w:val="single" w:sz="8" w:color="CCEEFF"/>
            </w:tcBorders>
          </w:tcPr>
          <w:p>
            <w:pPr>
              <w:ind w:left="15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130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8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2025, 2024, and 2023</w:t>
            </w:r>
          </w:p>
        </w:tc>
        <w:tc>
          <w:tcPr>
            <w:tcW w:w="1940" w:type="dxa"/>
            <w:vAlign w:val="bottom"/>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00" w:type="dxa"/>
            <w:vAlign w:val="bottom"/>
          </w:tcPr>
          <w:p>
            <w:pPr>
              <w:spacing w:after="0"/>
              <w:rPr>
                <w:sz w:val="15"/>
                <w:szCs w:val="15"/>
                <w:color w:val="auto"/>
              </w:rPr>
            </w:pPr>
          </w:p>
        </w:tc>
        <w:tc>
          <w:tcPr>
            <w:tcW w:w="8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 Equity for the years ended December 31, 2025, 2024, and 2023</w:t>
            </w:r>
          </w:p>
        </w:tc>
        <w:tc>
          <w:tcPr>
            <w:tcW w:w="1940" w:type="dxa"/>
            <w:vAlign w:val="bottom"/>
          </w:tcPr>
          <w:p>
            <w:pPr>
              <w:ind w:left="15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130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8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2025, 2024, and 2023</w:t>
            </w:r>
          </w:p>
        </w:tc>
        <w:tc>
          <w:tcPr>
            <w:tcW w:w="1940" w:type="dxa"/>
            <w:vAlign w:val="bottom"/>
            <w:shd w:val="clear" w:color="auto" w:fill="CCEEFF"/>
          </w:tcPr>
          <w:p>
            <w:pPr>
              <w:ind w:left="15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6"/>
        </w:trPr>
        <w:tc>
          <w:tcPr>
            <w:tcW w:w="1300" w:type="dxa"/>
            <w:vAlign w:val="bottom"/>
            <w:tcBorders>
              <w:top w:val="single" w:sz="8" w:color="CCEEFF"/>
            </w:tcBorders>
          </w:tcPr>
          <w:p>
            <w:pPr>
              <w:spacing w:after="0"/>
              <w:rPr>
                <w:sz w:val="15"/>
                <w:szCs w:val="15"/>
                <w:color w:val="auto"/>
              </w:rPr>
            </w:pPr>
          </w:p>
        </w:tc>
        <w:tc>
          <w:tcPr>
            <w:tcW w:w="21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Financial Statements</w:t>
            </w:r>
          </w:p>
        </w:tc>
        <w:tc>
          <w:tcPr>
            <w:tcW w:w="3800" w:type="dxa"/>
            <w:vAlign w:val="bottom"/>
            <w:tcBorders>
              <w:top w:val="single" w:sz="8" w:color="0000EE"/>
            </w:tcBorders>
            <w:gridSpan w:val="4"/>
          </w:tcPr>
          <w:p>
            <w:pPr>
              <w:spacing w:after="0"/>
              <w:rPr>
                <w:sz w:val="15"/>
                <w:szCs w:val="15"/>
                <w:color w:val="auto"/>
              </w:rPr>
            </w:pPr>
          </w:p>
        </w:tc>
        <w:tc>
          <w:tcPr>
            <w:tcW w:w="2040" w:type="dxa"/>
            <w:vAlign w:val="bottom"/>
            <w:tcBorders>
              <w:top w:val="single" w:sz="8" w:color="CCEEFF"/>
            </w:tcBorders>
            <w:gridSpan w:val="2"/>
          </w:tcPr>
          <w:p>
            <w:pPr>
              <w:spacing w:after="0"/>
              <w:rPr>
                <w:sz w:val="15"/>
                <w:szCs w:val="15"/>
                <w:color w:val="auto"/>
              </w:rPr>
            </w:pPr>
          </w:p>
        </w:tc>
        <w:tc>
          <w:tcPr>
            <w:tcW w:w="1940" w:type="dxa"/>
            <w:vAlign w:val="bottom"/>
            <w:tcBorders>
              <w:top w:val="single" w:sz="8" w:color="CCEEFF"/>
            </w:tcBorders>
          </w:tcPr>
          <w:p>
            <w:pPr>
              <w:ind w:left="1500"/>
              <w:spacing w:after="0" w:line="176" w:lineRule="exact"/>
              <w:rPr>
                <w:sz w:val="20"/>
                <w:szCs w:val="20"/>
                <w:color w:val="auto"/>
              </w:rPr>
            </w:pPr>
            <w:r>
              <w:rPr>
                <w:rFonts w:ascii="Times New Roman" w:cs="Times New Roman" w:eastAsia="Times New Roman" w:hAnsi="Times New Roman"/>
                <w:sz w:val="18"/>
                <w:szCs w:val="18"/>
                <w:color w:val="auto"/>
              </w:rPr>
              <w:t>F-6</w:t>
            </w:r>
          </w:p>
        </w:tc>
      </w:tr>
    </w:tbl>
    <w:p>
      <w:pPr>
        <w:spacing w:after="0" w:line="225" w:lineRule="exact"/>
        <w:rPr>
          <w:sz w:val="20"/>
          <w:szCs w:val="20"/>
          <w:color w:val="auto"/>
        </w:rPr>
      </w:pPr>
    </w:p>
    <w:p>
      <w:pPr>
        <w:ind w:left="130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in response to Item 601 of Regulation S-K are listed in the Exhibit Index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62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120" w:type="dxa"/>
            <w:vAlign w:val="bottom"/>
            <w:tcBorders>
              <w:top w:val="single" w:sz="8" w:color="auto"/>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Articles of Incorporation, as amended, of Superstar Platforms Inc., Inc.</w:t>
            </w:r>
          </w:p>
        </w:tc>
        <w:tc>
          <w:tcPr>
            <w:tcW w:w="5020" w:type="dxa"/>
            <w:vAlign w:val="bottom"/>
            <w:tcBorders>
              <w:top w:val="single" w:sz="8" w:color="auto"/>
            </w:tcBorders>
            <w:gridSpan w:val="4"/>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Bylaws of Superstar Platforms, Inc</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1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w:t>
            </w:r>
          </w:p>
        </w:tc>
        <w:tc>
          <w:tcPr>
            <w:tcW w:w="29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of the Securities Exchange Act.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560" w:type="dxa"/>
            <w:vAlign w:val="bottom"/>
            <w:gridSpan w:val="3"/>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8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6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16- Form 10K Summary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April 15, 2026</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this report has been signed below by the following persons on March 30, 2026 on behalf of the registrant and in the capacities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Michael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1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CHRISTINA FARR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49" w:name="page50"/>
    <w:bookmarkEnd w:id="49"/>
    <w:p>
      <w:pPr>
        <w:ind w:left="928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06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4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08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06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Principal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office of the Corporation shall be located at such place as the Board of Directors may determine within or outside the State of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Other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have such other offices as the Board of Directors may determine or the business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Annual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of the stockholders shall be held each year on a date and at a time fixed by the Board of Directors for the purpose of electing directors and transacting other corporate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Special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Special meetings of stockholders may be called by the Chairperson of the Board, Chief Executive Officer, a majority of the Board of Directors, or stockholders holding not less than 10% of all outstanding shares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Place of Meetings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Meetings of the stockholders shall be held at the principal office of the Corporation or at such other place (including remote communication, if authorized) as the Board may designate.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Notice of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shall be given not less than 10 nor more than 60 days before the date of the meeting. Notice may be given electronically to shareholders consenting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required by law or the Articles of Incorporation, a quorum shall consist of a majority of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 (Cont’d)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Voting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outstanding share shall be entitled to one vote. Action is taken by a majority of votes cast unless a greater requirement is imposed by law or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General Powers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its Board of Directors, except as may be otherwise provided by law or the Articles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Number and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directors shall be fixed from time to time by resolution of the Board. Directors need not be Nevada residents 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Term of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serve until the next annual meeting of stockholders and until their successors are duly elected and qualified.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meetings of the Board may be held without notice. Special meetings require 24 hours’ notice unless waived.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 and Voting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majority of directors shall constitute a quorum. The act of a majority of the directors present at a meeting at which a quorum is present shall be the act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establish one or more committees (e.g., Audit, Compensation, Nominating) and delegate authority to such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Action Without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required or permitted to be taken at a meeting may be taken without a meeting if all directors consent in writing or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officers shall include at a minimum a Chief Executive Officer, a Secretary, and a Treasurer, and may include a President, one or more Vice Presidents, and such other officers as the Board may appoint.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and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elected annually by the Board and serve at its pleasure.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 (Cont’d)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Duties of Officers</w:t>
      </w:r>
    </w:p>
    <w:p>
      <w:pPr>
        <w:spacing w:after="0" w:line="225" w:lineRule="exact"/>
        <w:rPr>
          <w:sz w:val="20"/>
          <w:szCs w:val="20"/>
          <w:color w:val="auto"/>
        </w:rPr>
      </w:pPr>
    </w:p>
    <w:p>
      <w:pPr>
        <w:ind w:left="660" w:hanging="328"/>
        <w:spacing w:after="0" w:line="263"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Executive Officer (Michael Farr): </w:t>
      </w:r>
      <w:r>
        <w:rPr>
          <w:rFonts w:ascii="Times New Roman" w:cs="Times New Roman" w:eastAsia="Times New Roman" w:hAnsi="Times New Roman"/>
          <w:sz w:val="18"/>
          <w:szCs w:val="18"/>
          <w:color w:val="auto"/>
        </w:rPr>
        <w:t>Has general supervision and control over the business and affairs of the Corporation. Acts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public company representative.</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(if separate): </w:t>
      </w:r>
      <w:r>
        <w:rPr>
          <w:rFonts w:ascii="Times New Roman" w:cs="Times New Roman" w:eastAsia="Times New Roman" w:hAnsi="Times New Roman"/>
          <w:sz w:val="18"/>
          <w:szCs w:val="18"/>
          <w:color w:val="auto"/>
        </w:rPr>
        <w:t>Handles daily operations and may act in the CEO’s absence.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Maintains corporate records and minutes.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Responsible for financial management and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officers may perform such duties as prescribed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Nevada law, the Corporation shall indemnify any person who serves or has served as a director, officer, employee, or agent of the Corporation against all expenses and liabilities incurred in connection with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Certificates and Uncertificated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Corporation may be certificated or uncertificated. All stock issuances shall be recorded in the share register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Transfers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Transfers shall be made only on the Corporation’s books by the record holder or an authorized agent. Reasonable restrictions on transfer (e.g., Rule 144) may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Lost or Destroyed Certificates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require a bond to replace a lost, stolen, or destroyed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 CORPORATE RECORDS AND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Corporation shall maintain accurate financial records and comply with all SEC reporting requirements applicable to public companies. The CEO shall be responsible for ensuring timely filings, investor communications, and material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determined by the Board of Directors and may be changed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IX – AMENDMENTS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Bylaws may be amended, altered, or repealed by a majority of the Board of Directors or by stockholders holding a majority of the voting power, except as otherwise required by law or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ADOPTION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Bylaws were adopted by the Board of Directors of Superstar Platforms, Inc. on the 15th day of April,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3566160" cy="531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Farr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3566160" cy="523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Christina Farr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SUPERSTAR PLATFORMS, INC. EXECUTIVE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SUPERSTAR PLATFORMS, INC. FINANCIAL 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Superstar Platforms, Inc. (the Registrant) on Form 10-K for the year ended December 31,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SUPERSTAR PLATFROMS, INC.CERTIFICATION PURSUANT TO 18 U.S.C. SECTION 1350,AS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Superstar Platforms, Inc. (the Registrant) on Form 10-K for the year ended December 31,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203" w:lineRule="exact"/>
        <w:rPr>
          <w:sz w:val="20"/>
          <w:szCs w:val="20"/>
          <w:color w:val="auto"/>
        </w:rPr>
      </w:pPr>
    </w:p>
    <w:p>
      <w:pPr>
        <w:ind w:left="380" w:hanging="345"/>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lowerRoman"/>
      <w:start w:val="2"/>
    </w:lvl>
    <w:lvl w:ilvl="1">
      <w:lvlJc w:val="left"/>
      <w:lvlText w:val="%2."/>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Roman"/>
      <w:start w:val="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1"/>
    </w:lvl>
  </w:abstractNum>
  <w:abstractNum w:abstractNumId="13">
    <w:nsid w:val="7C83E458"/>
    <w:multiLevelType w:val="hybridMultilevel"/>
    <w:lvl w:ilvl="0">
      <w:lvlJc w:val="left"/>
      <w:lvlText w:val="(%1)"/>
      <w:numFmt w:val="decimal"/>
      <w:start w:val="29"/>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lvl w:ilvl="1">
      <w:lvlJc w:val="left"/>
      <w:lvlText w:val="%2."/>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4"/>
      <w:numFmt w:val="bullet"/>
      <w:start w:val="1"/>
    </w:lvl>
    <w:lvl w:ilvl="1">
      <w:lvlJc w:val="left"/>
      <w:lvlText w:val="%2."/>
      <w:numFmt w:val="lowerLetter"/>
      <w:start w:val="1"/>
    </w:lvl>
  </w:abstractNum>
  <w:abstractNum w:abstractNumId="22">
    <w:nsid w:val="6763845E"/>
    <w:multiLevelType w:val="hybridMultilevel"/>
    <w:lvl w:ilvl="0">
      <w:lvlJc w:val="left"/>
      <w:lvlText w:val="%1."/>
      <w:numFmt w:val="decimal"/>
      <w:start w:val="5"/>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2026-04-15T16:35:14Z</dcterms:created>
  <dcterms:modified xsi:type="dcterms:W3CDTF">2026-04-15T16:35:14Z</dcterms:modified>
</cp:coreProperties>
</file>