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10-12G/A</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360" w:type="dxa"/>
            <w:vAlign w:val="bottom"/>
          </w:tcPr>
          <w:p>
            <w:pPr>
              <w:spacing w:after="0"/>
              <w:rPr>
                <w:sz w:val="18"/>
                <w:szCs w:val="18"/>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01-0741042</w:t>
            </w:r>
          </w:p>
        </w:tc>
      </w:tr>
      <w:tr>
        <w:trPr>
          <w:trHeight w:val="423"/>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586 Cobb Parkway S</w:t>
            </w:r>
          </w:p>
        </w:tc>
        <w:tc>
          <w:tcPr>
            <w:tcW w:w="1360" w:type="dxa"/>
            <w:vAlign w:val="bottom"/>
          </w:tcPr>
          <w:p>
            <w:pPr>
              <w:spacing w:after="0"/>
              <w:rPr>
                <w:sz w:val="24"/>
                <w:szCs w:val="24"/>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Suite 900</w:t>
            </w:r>
          </w:p>
        </w:tc>
        <w:tc>
          <w:tcPr>
            <w:tcW w:w="1360" w:type="dxa"/>
            <w:vAlign w:val="bottom"/>
          </w:tcPr>
          <w:p>
            <w:pPr>
              <w:spacing w:after="0"/>
              <w:rPr>
                <w:sz w:val="18"/>
                <w:szCs w:val="18"/>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Marietta, GA</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30060</w:t>
            </w:r>
          </w:p>
        </w:tc>
      </w:tr>
      <w:tr>
        <w:trPr>
          <w:trHeight w:val="238"/>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626"/>
        </w:trPr>
        <w:tc>
          <w:tcPr>
            <w:tcW w:w="648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(650-228-0680)</w:t>
            </w:r>
          </w:p>
        </w:tc>
        <w:tc>
          <w:tcPr>
            <w:tcW w:w="1360" w:type="dxa"/>
            <w:vAlign w:val="bottom"/>
          </w:tcPr>
          <w:p>
            <w:pPr>
              <w:spacing w:after="0"/>
              <w:rPr>
                <w:sz w:val="24"/>
                <w:szCs w:val="24"/>
                <w:color w:val="auto"/>
              </w:rPr>
            </w:pPr>
          </w:p>
        </w:tc>
      </w:tr>
      <w:tr>
        <w:trPr>
          <w:trHeight w:val="238"/>
        </w:trPr>
        <w:tc>
          <w:tcPr>
            <w:tcW w:w="64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 to be so registered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5"/>
        </w:trPr>
        <w:tc>
          <w:tcPr>
            <w:tcW w:w="194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68"/>
        </w:trPr>
        <w:tc>
          <w:tcPr>
            <w:tcW w:w="194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r>
      <w:tr>
        <w:trPr>
          <w:trHeight w:val="445"/>
        </w:trPr>
        <w:tc>
          <w:tcPr>
            <w:tcW w:w="1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registration statement contains forward-looking statements. Statements contained in this registration statement that refer to the Company’s estimated or anticipated future results are forward-looking statements that reflect current perspectives of existing trends and information as of the date of this registration statement. Forward-looking statements generally will be accompanied by words such as “anticipate,” “believe,” “plan,” “could,” “should,” “estimate,” “expect,” “forecast,” “outlook,” “guidance,” “intend” “may,” “might,” “will,” “possible,” “potential,” “predict,” “project,” or other similar words, phrases or expressions. Such forward-looking statements include statements about the Company’s plans, objectives, expectations, and intentions. It is important to note that the Company’s goals and expectations are not predictions of actual performance. Actual results may differ materially from the Company’s current expectations depending upon several factors affecting the Company’s business. These risks and uncertainties include those set forth under “Risk Factors” beginning on page 10, as well as, among others, business effects, including the effects of industry, economic or political conditions outside of the Company’s control; the inherent uncertainty associated with financial projections; the anticipated size of the markets and demand for the Company’s products and services; the impact of competitive products and pricing; and access to available financing on a timely basis and on reasonable terms. We caution you that the foregoing list of crucial factors that may affect future results is not exhaustive.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Superstar Platforms, a national technology company, is the company that seeks to own and control a diversified portfolio of subsidiaries across various industries. Superstar Platforms owns no pawnshops.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addresses of the issuer’s principal executive office and principal place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 Cobb Parkway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GA 30060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As of September 30, 2024, Dinewise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Issuer went through Receivership Proceedings in the State of Nevada. Case A-17-766927-P Department Number: XXIX. The Custodianship was Approved on January 31, 2018. Discharged on January 21, 2020. On February 25, 2020, Nevada Courts approved the Motion to return Control of Company to the new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Superstar Platforms, a leading national technology conglomerate,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authorized to issue one billion shares of common stock and ten thousand shares of preferred stock. The following represent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issued shares as of August 21,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180,147,046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Shares-1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Shares- 9,999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common stock is highly speculative and involves a high degree of risk. In determining whether to purchase Superstar Platforms Inc.’s common stock, an investor should carefully consider all the material risks described below, together with the other information contained in this report. An investor should only purchase Superstar Platforms Inc.’s securities if he or she can afford to suffer the loss of his or her entire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and Industry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inability to retain our senior management team would be detrimental to the success of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our senior management team; our ability to retain them is particularly important to our future success. Given the highly specialized nature of our services the senior management team must have a thorough understanding of our product and service offerings as well as the skills and experience necessary to manage an organization consisting of a diverse group of professionals and external parties. In addition, we rely on our senior management team to generate and market our business successfully in a crowded, complex, and legislatively bound marketplace. Further, our senior management’s personal reputation and relationships with our clients are a critical element in obtaining and maintaining client engagements. We will enter into non-solicitation agreements with our senior management team, and we will also enter into well-scoped non-competition agreements. If one or more members of our senior management team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Superstar Platforms,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 .Our success depends largely on our general ability to attract, develop, motivate, and retain highly skilled professionals. Further, we must successfully maintain the right mix of professionals with relevant experience and skill sets as we grow, as we expand into new service offerings, and as the market evolves. The loss of a considerable number of our professionals, the inability to attract, hire, develop, train, and retain additional skilled personnel, or the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from both senior and junior professionals with the requisite credentials and experience. Our principal competition for talent comes from other pawnshops and consulting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people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Additional hiring, departures, business acquisitions and dispositions could disrupt our operations, increase our costs, or otherwise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products and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several additional risks, including:</w:t>
      </w:r>
    </w:p>
    <w:p>
      <w:pPr>
        <w:spacing w:after="0" w:line="19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attention, and resources from managing and marketing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acquired personnel or existing personnel who may view the acquisition unfavorably;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clients of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compensate new employees while they wait for their restrictive covenants with other institutions to expire;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raise significant amounts of capital to finance a transaction or the potential issuance of equity securities that could be dilutive to our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improve, coordinate, or integrate managerial, operational, financial, and administrative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assumption of liabilities of an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attain the expected synergies with an acquired business;</w:t>
      </w:r>
    </w:p>
    <w:p>
      <w:pPr>
        <w:spacing w:after="0" w:line="225" w:lineRule="exact"/>
        <w:rPr>
          <w:rFonts w:ascii="Times New Roman" w:cs="Times New Roman" w:eastAsia="Times New Roman" w:hAnsi="Times New Roman"/>
          <w:sz w:val="18"/>
          <w:szCs w:val="18"/>
          <w:color w:val="auto"/>
        </w:rPr>
      </w:pPr>
    </w:p>
    <w:p>
      <w:pPr>
        <w:ind w:left="660" w:right="29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usage of earn-outs based on the future performance of our business acquisitions may deter the acquired company from fully integrating into our existing business;</w:t>
      </w:r>
    </w:p>
    <w:p>
      <w:pPr>
        <w:spacing w:after="0" w:line="161" w:lineRule="exact"/>
        <w:rPr>
          <w:rFonts w:ascii="Times New Roman" w:cs="Times New Roman" w:eastAsia="Times New Roman" w:hAnsi="Times New Roman"/>
          <w:sz w:val="18"/>
          <w:szCs w:val="18"/>
          <w:color w:val="auto"/>
        </w:rPr>
      </w:pPr>
    </w:p>
    <w:p>
      <w:pPr>
        <w:ind w:left="660" w:right="27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inequalities if diverse groups of employees are eligible for different benefits and incentives or are subject to different policies and programs;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diverse backgrounds and experiences of consultants, including if we experience a The transition period for newly hired consultants results in a temporary drop in our utilization rates or margins.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intangible assets primarily consist of customer relationships, trade names, customer contracts, technology, and software. We evaluate our intangible assets for impairment whenever events or changes in circumstances indicate that the carrying amount of the assets may not be recoverable. 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a non-cash goodwill impairment charge is recognized and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line="286"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affect demand for our services. These include: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and world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or global financial markets and the availability, costs, and terms of credit;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factors and general business conditions.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tax laws could have a material adverse effect on our business, cash flow, results of operations and financial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and other taxes in the U.S. at the state and federal level. Changes in applicable U.S. state or federal tax laws and regulations, or their interpretation and application, could materially affect our tax expense and profitability. The Company has not filed its federal tax returns for the last 11 years. The Company does not anticipate material adjustments of its tax liabilities when such returns are filed, but there is no guarantee that such filings will not have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manage fluctuations in our business successfully, we may not be able to achieve profitability.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successfully manage growth, we must periodically adjust and strengthen our operating, financial, accounting, and other systems, procedures, and controls, which could increase our costs and may adversely affect our gross profits and our ability to achieve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our services and the general economic environment make it difficult to predict our future operating results. To achieve profitability, we must:</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retain, and motivate highly qualified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adequate utilization and suitable billing rates for our revenue-generating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relationships with our clients and identify new clients in need of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resell product/ engagements and secure new client sales/engagements every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brand recognition; and</w:t>
      </w:r>
    </w:p>
    <w:p>
      <w:pPr>
        <w:spacing w:after="0" w:line="225" w:lineRule="exact"/>
        <w:rPr>
          <w:rFonts w:ascii="Times New Roman" w:cs="Times New Roman" w:eastAsia="Times New Roman" w:hAnsi="Times New Roman"/>
          <w:sz w:val="18"/>
          <w:szCs w:val="18"/>
          <w:color w:val="auto"/>
        </w:rPr>
      </w:pPr>
    </w:p>
    <w:p>
      <w:pPr>
        <w:ind w:left="660" w:right="25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quickly to meet changes in our markets, our business mix, the economic environment, the credit markets, and competitive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results could suffer if we are unable to achieve or maintain adequate utilization and suitable billing rates for our products and services.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 is likely that our quarterly results of operations may fluctuate in the future because of certain factors, some of which may be outside of our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A key element of our strategy is to market our products and services directly to certain specific organizations, and to increase the number of our products and services utilized by existing clients. The sales cycle for some of our products and services is often lengthy and may involve significant commitment of client personnel. Consequently, the commencement date of a client engagement often cannot be accurately forecasted. Certain of our client contracts contain terms that result in revenue being deferred and cannot be recognized until the occurrence of certain events. As a result, the period between contract signing and recognition of associated revenue may be lengthy, and we are not able to predict with certainty the period in which revenue will be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contracts state that some portion or all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the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fluctuations in our quarterly results of operations may be due to several other factors, some of which are not within our control, including:</w:t>
      </w:r>
    </w:p>
    <w:p>
      <w:pPr>
        <w:spacing w:after="0" w:line="225" w:lineRule="exact"/>
        <w:rPr>
          <w:sz w:val="20"/>
          <w:szCs w:val="20"/>
          <w:color w:val="auto"/>
        </w:rPr>
      </w:pPr>
    </w:p>
    <w:p>
      <w:pPr>
        <w:ind w:left="660" w:right="2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client invoices processed, and payments received, which may affect the fees payable to us under certain of our engagements;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decisions regarding renewal or termination of their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development or acquisition of technologies or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other settlement gains or losses.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becoming increasingly dependent on information technology and will require additional investments to grow and meet the demands of our clients.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the use of sophisticated technologies and systems. Some of the services may become dependent on the use of software applications and systems that we do not own and could become unavailable. Moreover, our technology platforms will require continuing investments by us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changes to our relationships with key third-party vendors, or in the business of our key third-party vendors, could unfavorably impact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system failures, service interruptions, or security breaches that could negatively impact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organization is comprised of employees who work on matters throughout the United States. We may be subject to disruption to our operating systems from technological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risks. We will need to continue to invest in technology to achieve the redundancies necessary to prevent service interruptions. Access to our systems because of security breach, the failure of our systems, or the loss of data could result in legal claims or proceedings, liability, or regulatory penalties and disruption operations, which could adversely affect our business and financial results.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reputation could be damaged, and we could incur additional liabilities if we fail to protect client and employee data of our own accord or if our information systems are breached.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and to communicate among our locations and with our clients, partners, and employees. The breadth and complexity of this infrastructure increases the potential risk of security breaches which could lead to potential unauthorized disclosure of confidential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providing services to clients, we may manage, utilize, and store sensitive or confidential client data. In addition, many states, and U.S. federal governmental authorities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data security and privacy laws and regulations may increase our costs of doing business and negatively impact our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are increasing in complexity and number. If any person, including any of our employees, negligently disregards or intentionally breaches our established controls with respect to client data, or otherwise mismanages or misappropriates that data, we could be subject to significant monetary damages, regulatory enforcement actions, fines, and/or criminal prosecution.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unauthorized disclosure of sensitive or confidential client data, whether through systems failure, employee negligence, fraud, or misappropriation, could damage our reputation and cause us to lose clients and their related revenue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general economic conditions and monetary or geo-political disruptions, as well as other factors beyond our control, could reduce demand for our practice offerings or services, in which case our revenues and profitability could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could affect demand for our practices and our services. These include:</w:t>
      </w:r>
    </w:p>
    <w:p>
      <w:pPr>
        <w:spacing w:after="0" w:line="225" w:lineRule="exact"/>
        <w:rPr>
          <w:sz w:val="20"/>
          <w:szCs w:val="20"/>
          <w:color w:val="auto"/>
        </w:rPr>
      </w:pPr>
    </w:p>
    <w:p>
      <w:pPr>
        <w:ind w:left="660" w:right="30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economy, including economic recessions and the strength and rate of any general economic recoveries;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financial markets and the availability, costs and terms of credit and credit modifications;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management crises, including the occurrence of alleged fraudulent or illegal activities and practices;</w:t>
      </w:r>
    </w:p>
    <w:p>
      <w:pPr>
        <w:spacing w:after="0" w:line="225" w:lineRule="exact"/>
        <w:rPr>
          <w:rFonts w:ascii="Times New Roman" w:cs="Times New Roman" w:eastAsia="Times New Roman" w:hAnsi="Times New Roman"/>
          <w:sz w:val="18"/>
          <w:szCs w:val="18"/>
          <w:color w:val="auto"/>
        </w:rPr>
      </w:pPr>
    </w:p>
    <w:p>
      <w:pPr>
        <w:ind w:left="660" w:right="2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complex laws and regulations, repeals of existing laws and regulations or changes of enforcement of laws, rules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geographic, or political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economy will have on our business. Fluctuations, changes, and disruptions in finance, credit, mergers and acquisitions and other markets, political instability and general business factors could impact various operations and could affect such operations differently. Changes to factors described above, as well as other events, including by way of example, contractions of regional economies, monetary systems, banking, real estate and retail or other industries; debt or credit difficulties or defaults by businesses; new, repeals of or changes to laws and regulations, including changes to the bankruptcy and competition laws of the U.S.; a decline in the implementation or adoption of new laws of regulation, or in government enforcement, litigation or monetary damages or remedies that are sought; or political instability may have adverse effects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operating income and cash flow are likely to fluctuate.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experience fluctuations in our revenues and cost structure and the resulting operating income and cash flows. We may experience fluctuations in our annual and quarterly financial results, including revenues, operating income and earnings per share, for reasons that include (i) the types and complexity, number, size, timing and duration of client engagements; (ii) the timing of revenue recognition under accounting principles generally accepted in the United States of America (“U.S. GAAP”); (iii) the utilization of revenue-generating professionals, including the ability to adjust staffing levels up or down to accommodate our business and prospects; (iv) the time it takes before a new hire becomes profitable; (v) the geographic locations of our clients or the locations where services are rendered; (vi) billing rates and fee arrangements, including the opportunity and ability to successfully reach milestones and complete projects, and collect for them; (vii) the length of billing and collection cycles and changes in amounts that may become uncollectible; (viii) changes in the frequency and complexity of government regulatory and enforcement activities; and (ix) economic factors beyond our control.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experience fluctuations in our operating income and related cash flows because of increases in employee compensation, including changes to our incentive compensation structure and the timing of incentive payments. Also, the timing of investments or acquisitions and the cost of integrating them may cause fluctuations in our financial results, including operating income and cash flows. This volatility may make it difficult to forecast our future results with precision and to assess accurately whether increases or decreases in any one or more quarters are likely to cause annual results to exceed or fall short of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Company faces certain risks, including (i) industry consolidation and a heightened competitive environment, (ii) downward pricing pressure,</w:t>
      </w:r>
    </w:p>
    <w:p>
      <w:pPr>
        <w:spacing w:after="0" w:line="31" w:lineRule="exact"/>
        <w:rPr>
          <w:sz w:val="20"/>
          <w:szCs w:val="20"/>
          <w:color w:val="auto"/>
        </w:rPr>
      </w:pPr>
    </w:p>
    <w:p>
      <w:pPr>
        <w:ind w:firstLine="8"/>
        <w:spacing w:after="0" w:line="260" w:lineRule="auto"/>
        <w:tabs>
          <w:tab w:leader="none" w:pos="34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changes and obsolescence, (iv) failure to protect client information against cyber-attacks and (v) failure to protect IP, which individually or together could cause the financial results and prospects of the Company to decline.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is facing significant competition from other consultants. There continues to be significant consolidation of companies providing products and services like those offered by our Company, which may provide competitors with greater financial and other resources than those of Superstar Platforms Inc. This industry is subject to significant and rapid innovation. Larger competitors may be able to invest more in research and development, react more quickly to new regulatory or legal requirements and other changes, or innovate more quickly and efficiently.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software and products of our Company are subject to rapid technological innovation. There is no guarantee that we will successfully develop new versions of our software or other products. Our software may not keep pace with necessary changes and innovation. There is no assurance that new, innovative, or improved software or products will be developed, compete effectively with the software and technology developed and offered by competitors, be price competitive with other companies providing similar software or products, or be accepted by our clients or the marketplace. If Superstar Platforms Inc. is unable to develop and offer competitive software and products or is otherwise unable to capitalize on market opportunities, the impact could adversely affect our operating margins and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face cyber-based attacks and attempts by hackers and similar unauthorized users to gain access to or corrupt our information technology systems. Such attacks could disrupt our business operations, cause us to incur unanticipated losses or expenses, and result in unauthorized disclosures of confidential or proprietary information. Although we seek to prevent, detect, and investigate these network security incidents, and have taken steps to mitigate the likelihood of network security breaches, there can be no assurance that attacks by unauthorized users will not be attempted in the future or that our security measures will be effective.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trade secrets, confidentiality, and other contractual provisions to protect our assets. Our software and related documentation will be protected principally under United States laws, which afford only limited protection, and the laws of some foreign jurisdictions provide less protection for our proprietary rights than the laws of the U.S. Unauthorized use and misuse of our IP by employees or third parties could have a material adverse effect on our business, financial condition and results of operations. The available legal remedies for unauthorized or misuse of our IP may not adequately compensate us for the damage caused by unauthorized 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manage our growth effectively, and our profitability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manage our growth effectively, our business, financial results and financial condition may suffer.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assured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Superstar Platforms Inc. could experience from losing valued professionals and their industry expertise and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financial condition, results of operations and growth could be harmed by the effects of the COVID-19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risks related to the public health crises such as the global pandemic associated with the coronavirus (COVID-19). In December 2019, a novel strain of coronavirus, SARS-CoV-2, was reported to have surfaced in Wuhan, China. Since then, SARS-CoV-2, and the resulting disease COVID-19, has spread to most countries, and all fifty states within the United States. In March 2020, the World Health Organization declared the COVID-19 outbreak a pandemic. The COVID-19 pandemic is no longer a national emergency but is considered still to be a public health priority. Numerous governmental jurisdictions have imposed in the past, and others in the future may impose, “shelter-in-place” orders, quarantines, executive orders and similar government orders and restrictions for their residents to control the spread of COVID-19. Such orders or restrictions, and the perception that such orders or restrictions could occur, have resulted in business closures, work stoppages, slowdowns and delays, work-from-home policies, travel restrictions and cancellation of events, among other effects, thereby negatively impacting our customers, employees, and offices, among others. We may experience further limitations on employee resources in the future, because of sickness of employees or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widespread COVID-19 pandemic has resulted in, and may continue to result in, significant volatility and uncertainty in U.S. financial markets, which may reduce our ability to access capital, which could in the future negatively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secure the capital required to develop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dependent on securing additional capital. If we fail to secure the required capital our business will fail.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Risk Factor</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financial statements have been prepared on a going concern basis, we have accumulated significant losses and have had negative cash flows from operations that could adversely affect our ability to secure additional capital to fund our operations or limit our ability to react to changes in the economy or our industry. These additional risks or uncertainties not presently known to us, or that we currently deem immaterial, raise substantial doubt about our ability to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Accounting Standards Update (“ASU”) 2014-15, Presentation of Financial Statements—Going Concern (Subtopic 205-40) Accounting Standards Codification (“ASC 205-40”), Superstar Platforms Inc.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 Management has assessed Superstar Platforms Inc.’s ability to continue as a going concern in accordance with the requirement of ASC 205-40.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and the rules and regulations of the SEC. The consolidated financial statements have been prepared using U.S. GAAP applicable to a going concern that contemplates the realization of assets and liquidation of liabilities in the normal course of business. Superstar Platforms Inc. has accumulated significant losses and has negative cash flows from operations and, on December 31, 2024, had a working capital deficit and accumulated a deficit of $1,499,668, respectively. In addition, the Company’s cash position is critically deficient, and critical payments are not being made in the ordinary course of business, all of which raises substantial doubt about Superstar Platforms Inc.’s ability to continue as a going concern. Management’s plans with respect to alleviating the adverse financial conditions that caused management to express substantial doubt about Superstar Platforms Inc.’s ability to continue as a going concern are discussed in “Management’s Discussion and Analysis of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Superstar Platforms Inc. has incurred substantial costs in connection with the acquisition of the Platform which may include accounting, tax, legal and other professional services costs, recruiting, and relocation costs associated with hiring key senior management personnel who are new to Superstar Platforms Inc., tax costs and costs to separate information systems, among other costs.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The cost of performing such functions is anticipated to be higher than the amounts reflected in Superstar Platforms Inc.’s historical financial statements, which would cause its future losses to increase. Accordingly, Superstar Platforms Inc. will continue to focus on increasing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Superstar Platforms Inc. will be able to achieve its business plan, raise any additional capital or secure the additional financing necessary to implement its current operating plan. The ability of Superstar Platforms Inc. to continue as a going concern is dependent upon its ability to significantly increase its revenues and eventually achieve profitable operations. The accompanying consolidated financial statements do not include any adjustments that might be necessary if Superstar Platforms Inc. is unable to continue as a going concern.</w:t>
      </w:r>
    </w:p>
    <w:p>
      <w:pPr>
        <w:spacing w:after="0" w:line="1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is considered a “penny stock,” and is therefore considered risky.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OTC Pink Sheet stocks, and especially those being offered for less than $5.00 per share, are often known as “penny stocks” and are subject to regulations which mandate the dispersion of certain disclosures to potential investors prior to any investor’s purchase of any penny stocks. Penny stocks are low-priced securities with low trading volume. Consequently, the price of the stock is often volatile, and investors may be unable to buy or sell the stock when you desire. The SEC extensively monitors “penny stocks,” and such regulations are enumerated in Exchange Act Section 15(h) and Exchange Act Rules 3a51-1 and 15g-1 through 15g-100. With certain exceptions, brokers selling our stock must adhere to the SEC’s “penny stock” regulations, which requirements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a risk disclosure document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price quotations and other information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any compensation they receive from the sale of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a disclosure of any compensation paid to any associated persons in connection with transactions relating to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quarterly account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may not sell any of our stock that is held in escrow or trust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selling our stock, brokers must approve your account for buying and selling penny stocks.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make a special written determination that the penny stock is a suitable investment for the purchaser and receive the purchaser’s written agreement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411"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These additional sales practices and the disclosure requirements could impede the sale of our securities. In addition, the liquidity of our securities may be adversely affected, with related adverse effects on the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“penny stock” rules described above,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speculatively low-priced securities will not be suitable for at least some customers. The FINRA requirements make it more difficult for broker-dealers to recommend their customers buy our common stock, which may have the effect of reducing the trading activity in our common stock. As a result, fewer broker-dealers may be willing to make a market in our common stock, reducing a stockholder’s ability to resell shares of our common stock, thereby potentially reducing the liquidity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previously paid any cash dividends, nor have we decided to pay dividends on any share of preferred stock or shares of Common Stock. There can be no assurance that our operations will result in sufficient revenues to enable us to operate at profitable levels or to generate positive cash flows. Furthermore, there is no assurance that the Board of Directors will declare dividends even if profitable. Dividend policy is subject to the discretion of our Board of Directors and will depend on, among other things, our earnings, financial condition, capital requirements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additional shares in the future, it will result in the dilution of our existing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has authorized one billion shares of $0.001 par value Common Stock of which 180,147,046 were issued and outstanding as of July 3, 2025. These shares have one vote per share. The issuance of any such shares may result in a reduction in the market price of our outstanding shares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and we may take advantage of certain exemptions from various reporting requirements that are applicable to other public companies, including “emerging growth companies” such as,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Our status as a smaller reporting company is determined on an annual basis. We cannot predict if investors will find our Common Stock less attractive or our Company less comparable to certain other public companies because we will rely on these exemptions. For example, if we do not adopt a new or revised accounting standard, our future financial results may not be as comparable to the financial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reporting public company may strain our resources, divert management’s attention, and affect our ability to attract and retain additional executive management and qualified board members.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reporting public company, we will be subject to the reporting requirements of the Exchange Act, the Sarbanes-Oxley Act, and the Dodd-Frank Act,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 “smaller reporting company.” The Exchange Act requires, among other things, that we file annual, quarterly, and current reports with respect to our business and results of operations. As a “smaller reporting company,” we receive certain reporting exemptions under the Sarbanes-Oxley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creates uncertainty for public companies, increases legal and financial compliance costs and increase time expenditures for internal personnel. These laws, regulations and standards are subject to interpretation, in many cases due to their lack of specificity, and their application in practice may evolve over time as regulators and governing bodies provide new guidance. These changes may result in continued uncertainty regarding compliance matters and may necessitate higher costs due to ongoing revisions to filings, disclosures,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regulatory or legal proceedings against us, and our business may be adversely affected.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under these rules and regulations, we expect that it may make it more expensive for us to obtain director and officer liability insurance, and we may be required to accept reduced coverage or incur higher costs to obtain coverage. These factors could also make it more difficult for us to attract and retain qualified members of our Board of Directors and could also make it more difficult to attract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result in losses to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markets have experienced and may experience significant price and trading volume fluctuations, and the market prices of companies quoted on the Pink Tier of the OTC Marketplace, which is where our stock is currently quoted, have experienced sharp share price and trading volume changes. The trading price of our common stock is likely to be volatile and could fluctuate widely in response to many factors both in and outside of our control, and include but are not limited to the following:</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our future financial performance, including financial estimates by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and stock price performance of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markets often experience significant price and volume fluctuations. These fluctuations, as well as general economic and political conditions unrelated to our performance, may adversely affect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for our common stock may be characterized by significant price volatility as compared to seasoned issuers, and we expect that our share price will be more volatile than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become thinly traded and you may be unable to sell at or near ask prices, or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trading our common stock will be sustained. The trading volume of our common stock may be sporadically or “thinly traded,” meaning that the number of persons interested in purchasing our common stock at or near bid prices at certain given time may be small or non-existent.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situation is attributable to several factors, including the fact that we are a small company which is unknown to stock analysts, stockbrokers, institutional investors, and others in the investment community who generate or influence sales volume. Even if we came to the attention of such people, those people may be reluctant to follow, purchase, or recommend the purchase of shares of an unproven company such as ours until such time as we become more seasoned and viable. Consequently, there may be periods of several days or more when trading activity in our shares is minimal or non-existent, as compared to a seasoned issuer which has a large and steady volume of trading activity that will support continuous sales without an adverse effect on share price. We cannot give you any assurance that a broader or more active public trading market for our common stock will develop or be sustained.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become volatile given our status as a small company, which could lead to wide fluctuations in our share price. You may be unable to sell your common stock at or above your purchase price if at all, which may result in substantial losses to you.</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but are not limited to: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able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volatility of our share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all the foregoing, we believe it is possible for future revenue, expenses, and operating results to vary significantly from quarter to quarter and year to year. As a result, quarter-to-quarter and year-to-year comparisons of operating results are not necessarily meaningful or indicative of future performance. Furthermore, we believe that it is possible that in any given quarter or fiscal year our operating results could differ from the expectations of public market analysts or investors. In such an event or if adverse conditions prevail, or are perceived to prevail, with respect to our business or generally, the market price of our Common Stock would likely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2-Financial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should be read in conjunction with the financial statements and notes included elsewhere in this registration statement.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as well as other sections of this registration statement,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under the caption “Risk Factors” in Item 1A of this registration statement. Superstar Platforms Inc. Disclaims any intention or obligation to update or revise any forward-looking statements, whether because of new information, future events, or otherwise.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The Company operated as Dinewise Inc.until March 2025 when it changed its name to Superstar Platforms Inc.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Overview of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operated as Dinewise Inc. until March 2025 when it changed its name to Superstar Platforms Inc. . There are no affiliated companies as of September 30, 2024 and Superstar Platform does not own any pawn shops.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Market Outlook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pawnshop market is estimated at over $42 billion dollars involving over 10,000 pawnshops. It is estimated that these businesses process more than 250 million customer transactions annually, serving over fifty million individuals. According to the National Pawnbrokers Association, one in four persons in the US are underbanked or unbanked and nearly forty percent of those people have used pawnshops. It is estimated that 7.4 United States households have used a pawnshop.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Marketing and Distribution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A key element of our strategy is to market our products and services directly to certain specific organizations, and to increase the number of our products and services utilized by existing clients.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pawn shop industry.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Capital 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As of August 5, 2025, The Company was authorized to issue 1,000,000,000 of common stock with 180,147,046 issued and outstanding. The Company issued 3,907,945 0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There are 10,000 shares of Preferred Shares with 9,999 shares of Preferred B shares and 1 share of Series A stock. The Preferred Shares are held by Christina Farr-Moore, the CEO.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require additional funding for ongoing operations in the future. There is no guarantee that we will be able to raise any additional capital and have no current arrangements for any such financing.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March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three months ending March 31, 2025, and 2024, respectively, and provides information regarding the dollar and percentage increase or (decrease) from the current year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revenues of $18,900 for the three months ending March 31, 2025, as compared with revenue of $0 for the three months ending March 31, 2024. The increased loss was primarily driven by an increase in salaries and wages. The Company does not make investments or trades.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totaled $26,483 for the three months ending March 31, 2025, compared to $36,774 for the three months ending March 31, 2024, a decrease of $10,291, or approximately 28%. The main reason for the decrease in operating expenses was a decrease in general and administrative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Line item</w:t>
            </w:r>
          </w:p>
        </w:tc>
        <w:tc>
          <w:tcPr>
            <w:tcW w:w="38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3/31/25</w:t>
            </w:r>
          </w:p>
        </w:tc>
        <w:tc>
          <w:tcPr>
            <w:tcW w:w="360" w:type="dxa"/>
            <w:vAlign w:val="bottom"/>
          </w:tcPr>
          <w:p>
            <w:pPr>
              <w:spacing w:after="0"/>
              <w:rPr>
                <w:sz w:val="20"/>
                <w:szCs w:val="20"/>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3/31/24</w:t>
            </w:r>
          </w:p>
        </w:tc>
        <w:tc>
          <w:tcPr>
            <w:tcW w:w="320" w:type="dxa"/>
            <w:vAlign w:val="bottom"/>
          </w:tcPr>
          <w:p>
            <w:pPr>
              <w:spacing w:after="0"/>
              <w:rPr>
                <w:sz w:val="20"/>
                <w:szCs w:val="20"/>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Increase/Decrease</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10"/>
        </w:trPr>
        <w:tc>
          <w:tcPr>
            <w:tcW w:w="2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18,900.00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-40,158.00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26,483.00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36,774.00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-10,291.00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58,410.00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119,777.00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-61,367.00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per share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0.0003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-0.0003</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December 31,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years ended December 31, 2024, and 2023, respectively, and provides information regarding the dollar and percentage increase or (decrease) from the current year to the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Line item</w:t>
            </w:r>
          </w:p>
        </w:tc>
        <w:tc>
          <w:tcPr>
            <w:tcW w:w="36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12/31/24</w:t>
            </w:r>
          </w:p>
        </w:tc>
        <w:tc>
          <w:tcPr>
            <w:tcW w:w="36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12/31/23</w:t>
            </w:r>
          </w:p>
        </w:tc>
        <w:tc>
          <w:tcPr>
            <w:tcW w:w="320" w:type="dxa"/>
            <w:vAlign w:val="bottom"/>
          </w:tcPr>
          <w:p>
            <w:pPr>
              <w:spacing w:after="0"/>
              <w:rPr>
                <w:sz w:val="20"/>
                <w:szCs w:val="20"/>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Increase/Decrease</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09"/>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164,014.00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123,660.00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40,354.00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-164,014.00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-123,660.00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-40,354.00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-0.0010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-0.0008</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net loss of $164,014 for the fiscal year ending December 31, 2024, as compared with a net loss of $123.660 for the fiscal year ending December 31, 2023, due primarily to a decrease of our operating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$164,014 for the fiscal year ending December 31, 2024, compared to $123,660 for the fiscal year ending December 31, 2023, an increase of $40,354, or approximately 33%. The main reason for the decrease in operating expenses is mainly due to the increase in professional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had total assets of $2,075,688 and $54, working capital of $11,307 and $54 and an accumulated deficit of $1,124,962 and $1,499,668, respectively. Our operating activities used $136,694 in cash for the three months ending March 31, 2025, compared to net cash used in operations of $169,559 for the three months ended March 31, 2024. Our revenues were $116,393 for the three months ending March 31, 2025, and $156,551 for the three months ending March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total assets of $54 and $6 respectively, working capital of $54 and $6 and an accumulated deficit of $1,499,668 and $1,335,654, respectively. Our operating activities had a net loss of $164,014 and net cash from operating activities was $48 for the year ended December 31, 2024, compared to a net loss of $123,660 and net cash from operating activities was $6 for the year ended December 31, 2023. Our revenues were $0 for the year ending December 31, 2024, and $0 for the year ending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cash will be sufficient to fund all Company obligations and commitments for the next twelve months. Historically, we have depended on equity offerings and loans from our principal shareholders and their affiliated companies to provide us with working capital as required. There is no guarantee that such funding will be available when required and there can be no assurance that our stockholders, or any of them, will continue making loans or advances to us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loans outstanding from Michael Farr in the amount of $307,674 as of December 31, 2024 and $273,660 as of December 31, 2023, which represents amounts loaned to the Company to pay the Company’s expenses of operation. The note was due on December 31, 2021, and payable on demand. Michael Farr transferred the note to Mel Farr, Jr. as a gift.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 Balance Sheet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not affected by 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005"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does not own any property, the Company leases office space in Marietta GA for $1,000 per month for its corporate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31, 2025, information regarding beneficial ownership of our capital stock by:</w:t>
      </w:r>
    </w:p>
    <w:p>
      <w:pPr>
        <w:spacing w:after="0" w:line="225" w:lineRule="exact"/>
        <w:rPr>
          <w:sz w:val="20"/>
          <w:szCs w:val="20"/>
          <w:color w:val="auto"/>
        </w:rPr>
      </w:pPr>
    </w:p>
    <w:p>
      <w:pPr>
        <w:ind w:left="660" w:right="26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any class of our voting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Securities and Exchange Commission (the “SEC”) and generally means that a person has beneficial ownership of a security if he, she, or it possesses sole or shared voting or investment power of that security, including convertible securities, warrants and options that are convertible or exercisable within 60 days. Except as indicated by the footnotes below, we believe, based on the information furnished to us, that the persons named in the table below have sole voting and investment power with respect to all shares shown that they beneficially own, subject to community property laws where applicable. The address for each of our executive officers and directors is c/o Superstar Platforms Inc.586 Cobb Parkway S Suite 900, Marietta, GA 30060.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 Shares in Class</w:t>
            </w: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Total % of</w:t>
            </w:r>
          </w:p>
        </w:tc>
      </w:tr>
      <w:tr>
        <w:trPr>
          <w:trHeight w:val="238"/>
        </w:trPr>
        <w:tc>
          <w:tcPr>
            <w:tcW w:w="2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2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160" w:type="dxa"/>
            <w:vAlign w:val="bottom"/>
            <w:tcBorders>
              <w:bottom w:val="single" w:sz="8" w:color="CCEEFF"/>
            </w:tcBorders>
          </w:tcPr>
          <w:p>
            <w:pPr>
              <w:spacing w:after="0"/>
              <w:rPr>
                <w:sz w:val="20"/>
                <w:szCs w:val="20"/>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MacFund Holdings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55.51%</w:t>
            </w: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Moore aka</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Christina Farr</w:t>
            </w: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586 Cobb Parkway S Suite 900,</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Marietta, GA 30060</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Farr is the spouse of</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Farr, and the Sister in</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 of of Mel Farr, Jr.</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Farr is the CEO and CFO of</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Convenient Gourmet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12,196,216</w:t>
            </w: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Larry Clark</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5334 Achilles Drive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Beach, VA 23464</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Melvin Farr, Jr</w:t>
            </w:r>
          </w:p>
        </w:tc>
        <w:tc>
          <w:tcPr>
            <w:tcW w:w="2100" w:type="dxa"/>
            <w:vAlign w:val="bottom"/>
            <w:gridSpan w:val="2"/>
            <w:shd w:val="clear" w:color="auto" w:fill="CCEEFF"/>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12,000,000</w:t>
            </w:r>
          </w:p>
        </w:tc>
        <w:tc>
          <w:tcPr>
            <w:tcW w:w="21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6.66%</w:t>
            </w:r>
          </w:p>
        </w:tc>
        <w:tc>
          <w:tcPr>
            <w:tcW w:w="184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6.66%</w:t>
            </w:r>
          </w:p>
        </w:tc>
      </w:tr>
    </w:tbl>
    <w:p>
      <w:pPr>
        <w:sectPr>
          <w:pgSz w:w="11900" w:h="16900" w:orient="portrait"/>
          <w:cols w:equalWidth="0" w:num="1">
            <w:col w:w="11240"/>
          </w:cols>
          <w:pgMar w:left="320" w:top="688"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VenkateswarluGarikapati</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10,000,000</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5.55%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36223 Ohan Drive</w:t>
            </w:r>
          </w:p>
        </w:tc>
        <w:tc>
          <w:tcPr>
            <w:tcW w:w="25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Irving, TX 75063</w:t>
            </w:r>
          </w:p>
        </w:tc>
        <w:tc>
          <w:tcPr>
            <w:tcW w:w="25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Tanja Oquendo</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12,000,000</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6.66%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180,147,046 shares of Common Stock issued and outstanding as of August 21, 2025, and additional shares deemed to be outstanding as to a particular person, in accordance with applicable rules of the SEC. Beneficial ownership is determined in accordance with SEC rules to generally include shares of Common Stock subject to options or issuable upon conversion of convertible securities or exercise of warrants, and such shares are deemed outstanding for computing the percentage of the person holding such options, securities or warrants, but are not deemed outstanding for computing the percentage of any other person. This table assumes the Company has sufficient authorized shares of Common Stock available to permit the conversion of all outstanding convertible securities and the exercise of all outstanding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(2) The Company has one class of voting securities, the Common Stock,</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Change-in-Control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nor are we aware of, any arrangements which if consummated may result in a change of control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of our initial directors and executive officers who currently serve on the Board of Directors for Superstar Platforms Inc. Directors will be elected annually.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44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8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Farr</w:t>
            </w:r>
          </w:p>
        </w:tc>
        <w:tc>
          <w:tcPr>
            <w:tcW w:w="20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7"/>
                <w:szCs w:val="17"/>
                <w:color w:val="auto"/>
              </w:rPr>
            </w:pPr>
          </w:p>
        </w:tc>
        <w:tc>
          <w:tcPr>
            <w:tcW w:w="4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Director, Chair-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 Ware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Washington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Tanja Oquendo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Rayman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Darryl Jackson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Farr is married to Christina Farr and is the brother of Mel Farr,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Farr is married to Michael Farr and is the sister in law of Mel Farr,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Farr, Jr is the brother of Mel Farr, Jr., and the brother in law of Christina Farr.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last ten years, none of the directors have filed for bankruptcy, nor have been convicted in a criminal proceeding or was a named subject of a pending criminal proceeding (excluding traffic violations and other minor offenses).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None of the directors was the subject of any order, judgment, or decree, not subsequently reversed, suspended or vacated, of any court of competent jurisdiction, permanently or temporarily enjoining him from, or otherwise limiting, the following activities:(i)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Engaging in any type of business practice; or</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Engaging in any activity in connection with the purchase or sale of any security or commodity or in connection with any violation of Federal or State securities laws or Federal commodities laws.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directorswere the subject of any order, judgment or decree, not subsequently reversed, suspended or vacated, of any Federal or State authority barring, suspending or otherwise limiting for more than 60 days the right of such person to engage in any activity described in paragraph (f)(3)(i) of this section, or to be associated with persons engaged in any such activity.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Commission to have violated any Federal or State securities law, and the judgment in such civil action or finding by the Commission has not been subsequently reversed, suspended, or vacated.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last ten years, none of the directorswere the subject of, or a party to, any Federal or State judicial or administrative order, judgment, decree, or finding, not subsequently reversed, suspended or vacated, relating to an alleged violation of:(i) Any Federal or State securities or commodities law or regulation; or(ii)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or(iii) any law or regulation prohibiting mail or wire fraud or fraud in connection with any business entity.</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the last ten years, none of the directors were the subject of, or a party to, any sanction or order, not subsequently reversed, suspended or vacated, of any self-regulatory organization (as defined in Section 3(a)(26) of the </w:t>
      </w:r>
      <w:r>
        <w:rPr>
          <w:rFonts w:ascii="Times New Roman" w:cs="Times New Roman" w:eastAsia="Times New Roman" w:hAnsi="Times New Roman"/>
          <w:sz w:val="18"/>
          <w:szCs w:val="18"/>
          <w:u w:val="single" w:color="auto"/>
          <w:color w:val="auto"/>
        </w:rPr>
        <w:t>Exchange Act (15 U.S.C. 78c(a)(26)))</w:t>
      </w:r>
      <w:r>
        <w:rPr>
          <w:rFonts w:ascii="Times New Roman" w:cs="Times New Roman" w:eastAsia="Times New Roman" w:hAnsi="Times New Roman"/>
          <w:sz w:val="18"/>
          <w:szCs w:val="18"/>
          <w:color w:val="auto"/>
        </w:rPr>
        <w:t>, any registered entity (as defined in Section 1(a)</w:t>
      </w:r>
    </w:p>
    <w:p>
      <w:pPr>
        <w:ind w:firstLine="8"/>
        <w:spacing w:after="0" w:line="260" w:lineRule="auto"/>
        <w:tabs>
          <w:tab w:leader="none" w:pos="3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u w:val="single" w:color="auto"/>
          <w:color w:val="auto"/>
        </w:rPr>
        <w:t>Commodity Exchange Act (7 U.S.C. 1(a)(29)))</w:t>
      </w:r>
      <w:r>
        <w:rPr>
          <w:rFonts w:ascii="Times New Roman" w:cs="Times New Roman" w:eastAsia="Times New Roman" w:hAnsi="Times New Roman"/>
          <w:sz w:val="18"/>
          <w:szCs w:val="18"/>
          <w:color w:val="auto"/>
        </w:rPr>
        <w:t xml:space="preserve">, or any equivalent exchange, association, entity or organization that has disciplinary authority over its members or persons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with a member.</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agreements with respect to electing directors. Each director shall serve until his successor is elected at our Annual Meeting of Shareholders and is qualified, subject to removal by Superstar Platforms Inc.’s shareholders. The Board of Directors appoints officers annually and each executive officer serves at the discretion of the Board of Directors. Superstar Platforms Inc. does not have any standing board committees currently, and due to its small size does not believe that committees are necessary currently. As of the date of this filing our two directors fulfill the duties of the audit committee. None of the directors held any directorships during the past five years in any company with a class of securities registered pursuant to Section 12 of the Exchange Act or subject to the requirements of Section 15(d) of such act, or of any company registered as an investment company under the Investment Company Act of 1940.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Michael Farr- Age 57- Director-Chairman</w:t>
      </w:r>
    </w:p>
    <w:p>
      <w:pPr>
        <w:sectPr>
          <w:pgSz w:w="11900" w:h="16838" w:orient="portrait"/>
          <w:cols w:equalWidth="0" w:num="1">
            <w:col w:w="11240"/>
          </w:cols>
          <w:pgMar w:left="320" w:top="715" w:right="339" w:bottom="208"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Michael Farr, known as the “Third Down Receiver” helped lead the 1991 Detroit Lions to their best season in franchise history. He led the team in receptions during their only playoff win in the Super Bowl era and had a standout performance in the NFC Championship game. Winning has always been a part of Mike’s journey—from an undefeated little league team coached by his father, Mel Farr Sr., to lead Brother Rice High School to the 1985 Michigan State Championship. That winning stance followed at U.C.L.A where Mike played in four consecutive New Year’s Day bowl games, and setting the single-season reception record with 66catches from Troy Aikman—all while graduating with first honors. Mike transitioned into the automotive industry, partnering with his father at Mel Farr Automotive Group. As General Manager of Mel Farr Ford, he helped double sales from $200M to $596M, making it the largest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African American-owned business in the U.S. He further engaged in asset back credit facility that financed over $50 million in auto loans. His underwriting metrics from the 1990s are still being used successfully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Mel Farr, Jr. Age 58-Director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Mel Farr Jr. excelled both academically and athletically at Brother Rice High School, leading his team to a 1984 Michigan State Championship before earning a scholarship to UCLA, where he played in the 1986 Rose Bowl and later joined the NFL, playing for the Denver Broncos and Los Angeles Rams. Transitioning into the automotive industry, he revitalized struggling dealerships, helping Mel Farr Automotive Group become the largest African American-owned business in the U.S. in 1998. He later co-founded Second Chance Motors, expanding it to nine locations in three states, and now oversees finance operations in Marietta. Committed to giving back, he co-founded the Mel Farr Superstar Foundation, providing underrepresented high school athletes opportunities to earn college scholarships through the Georgia Showcase football camp.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Christina Farr-Age 49-Director, CEO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Christina Farr is a seasoned financial professional with experience in banking, lending, and asset management. She began her career at Fifth Third Bank as a Customer Service Representative, where her exceptional service earned her the Premier President’s Award. She later transitioned to Finance Director at SCM Credit, where her expertise in loan auditing and collections led her to acquire over $11 million in non-performing assets, successfully turning 65% into performing loans before selling the company to a major collection agency at a five-times multiple. As a key leader in a captive finance company spanning four states and 14locations, Christina developed and managed underwriting metrics, maintained a 92% collection rate on below-subprime loans, and processed over $50 million in funding with an impressive 2.7-day average contract in transit time. Demonstrating her entrepreneurial acumen, she also launched a pawn business from the ground up, growing it to over $500,000 in revenue within three years. Christina’s proven record in finance, operations, and asset management showcases her ability to drive profitability and operational excellence.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Andre Ware-Age 57-Director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Andre Ware is a former professional football quarterback and a respected sports analyst. He made history as the first African American quarterback to win the Heisman Trophy and was also honored with the Davey O’Brien Award. At the University of Houston, Ware led one of the most explosive offenses in college football history, setting multiple NCAA records in 1989. Selected seventh overall in the 1990 NFL Draft by the Detroit Lions, he went on to play in the NFL, CFL, and NFL Europe. After his playing career, Ware transitioned into broadcasting, becoming a college football analyst for ESPN and a radio commentator for the Houston Texans. In recognition of his impact on the game, he was inducted into the College Football Hall of Fame in2004. Today, Ware remains a highly regarded voice in football analysis. Mr. Ware brings am extensive list of contacts that will allow the Company to access capital, influence, and experienced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James Washington-Age 60-Director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James Washington, a two-time Super Bowl Champion with the Dallas Cowboys, built a legacy of excellence both on and off the field. As the President of the NFL Alumni Southern California Chapter, he plays a pivotal role in supporting former players and driving community initiatives. Beyond his football career, James is deeply committed to philanthropy. He founded Shelter37, a nonprofit organization dedicated to empowering at-risk youth in Southern California, providing them with opportunities for growth and success. James has also cultivated a passion for winemaking, developed through extensive travels to vineyards and immersive experiences in wine tasting. His appreciation for fine wine ultimately led him to an exciting new venture in that industry. With the same dedication and drive that defined his football career, James continues to make an impact—whether in sports, community service, or the world of wine. Mr. Washington brings am extensive list of contacts that will allow the Company to access capital, influence, and experienced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Tanja Oquendo-Age 58-Director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Tanja Oquendo is an accomplished executive with extensive experience spanning healthcare, distribution, direct sales, financial services, and education in both domestic and global markets. With a juris doctorate and a strong background in human resources and administration, she has built a reputation as a trusted advisor and strategic leader. Tanja has successfully led high-revenue projects, optimized corporate operations, and driven value capture initiatives totaling nearly $25 million. She has spearheaded workforce planning strategies, enhanced executive compensation models, and implemented culture-shaping programs that improved engagement, retention, and organizational performance. Tanja brings a wealth of expertise in governance, business development, and strategic planning, making her an asset to any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Steve Rayman-Age 71-Director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Steve Rayman, a Chicago native, is a prominent figure in the automotive industry with a career that spans nearly four decades. Since 1985, he has proudly served the greater Atlanta area as the owner of Steve Rayman Chevrolet, which has grown into one of the largest and most respected Chevrolet dealerships in the region. Known for his unwavering commitment to customer satisfaction, Steve has dedicated his career to meeting the automotive needs of his community while ensuring a trustworthy and reliable experience for every customer. His influence extends beyond Atlanta, having owned and operated successful dealerships across Georgia, North Carolina, and Florida, further solidifying his reputation across the Southeastern United States. His leadership has earned his dealerships recognition for excellence in sales, service, and operations, all built on a foundation of ethical business practices. Beyond his professional success, Steve is actively involved in community initiatives, demonstrating his deep commitment to giving back. His journey—from his roots in Chicago to becoming a leader in the Southeast’s automotive landscape—exemplifies his entrepreneurial spirit, passion for service, and dedication to excellence.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Darryl Jackson-Age 66 -Director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Daryl Jackson is a seasoned entrepreneur and influential leader in the automotive industry with a distinguished record in vehicle sales and finance. As the owner and CEO of AMS Financial Group, a privately held automotive sales, leasing, and financial holding company operating throughout North and South Carolina, he has led the growth of a regional powerhouse that includes a network of used car dealerships under the Crown Auto Sales brand and its finance division, AMS Financial Group. Mr. Jackson serves on the board of the Carolina Independent Dealers Association and is a longtime 20 Group Fixture with the National Independent Automobile Dealers Association(NIADA, where he plays a key where he plays a key role in shaping polices that support independent dealers nationwide. A proud graduate of Wingate University and former baseball letterman, Mr. Jackson is deeply committed to business excellence, industry advocacy and community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6- Executive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Christina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Chairman and Director, began receiving a salary of $10,000.00 per month in November 2024 and will receive a salary of $10,000.00 per month in 2025. Michael Farr is owed $60,000.00 in accrued wages. Michael Farr owns no shares of Company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Mel Farr, Jr., Director, will receive a salary of $8,333.33 in 2025 and is owed $33,336.00 in accrued wages. He is the brother of Michael Farr and the brother-in-law of Christina Farr. He owns 6.66% of the outstanding common shares 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Resignation, Retirement, Other Termination, or Change in Control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contract, agreement, plan or arrangement, whether written or unwritten, that provides for payments to our directors or executive officers at, following, or in connection with the resignation, retirement or other termination of our directors or executive officers, or a change in control of our company or a change in our directors’ or executive officers’ responsibilities following a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Grants. No option grants have been exercised by the executive officers or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Aggregated Option Exercises and Fiscal Year-End Option Value. There have been no stock options exercised by the executive officers or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 compensation committee, and it does not have an audit committee financial expert. It does not have a compensation committee. There is no independent audit committee financial expert because it is believed the cost related to retaining a financial expert at this time is prohibitive in the circumstances of the Company. A financial expert will be retained when the financial circumstances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Christina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Chairman and Director, began receiving a salary of $10,000.00 per month in November 2024 and will receive a salary of $10,000.00 per month in 2025. Michael Farr is owed $60,000.00 in accrued wages. Michael Farr owns no shares of Company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Mel Farr, Jr., Director, will receive a salary of $8,333.33 in 2025 and is owed $33,336.00 in accrued wages. He is the brother of Michael Farr and the brother-in-law of Christina Farr. He owns 6.66% of the outstanding common shares 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Farr is owed $60,000.00 for accrued wages. Christina Farr is owed 650,000.00 for her accrued wages. Mel Farr Jr. is owed $33,336 for accrued wages. No other officer or director are owed any funds by Superstar Platforms Inc. currently and have no plans to loan any funds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Tanja Oquendo owns 6.66% of the outstanding common stock and is an affiliate of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Mel Farr, Jr. Christina Farr and Tonja Oquendo are not independent directors. The remaining directors are independent directors. They have no material relationship with the Company that would compromise their judgment or objectivity in overseeing the Company’s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Superstar Platforms Inc. may be involved in a variety of claims, lawsuits, investigations, and proceedings related to contractual disputes, employment matters, regulatory and compliance matters, intellectual property rights and other litigation arising in the ordinary course of business. Superstar Platforms Inc. operates in a highly regulated industry which may inherently lend itself to legal matters. Management is aware that litigation has associated costs and that results of adverse litigation verdicts could have a material effect on Superstar Platforms Inc.’s consolidated financial position or results of operations. However, currently, there are no pending legal proceedings, and Management is unaware of any pending or potential legal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Market for Registrant’s Common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not listed on any securities exchange and is quoted on the OTC Pink Market under the symbol “DWIS.” Because our Common Stock is not listed on a securities exchange and its quotation on OTC Pink is limited and sporadic, there is currently no established public trading market for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high and low closing prices per share of our common stock as reported for the periods indicated. Such quotations represent inter-dealer prices without retail markup, markdown on commissions and may not represent actual transactions. On July 3, 2025, the closing price of our common stock on OTC Pink was $.075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30,2022</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0.1775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0.165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0.0599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0.0599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.078</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182 holders of record as of March 31, 2025. In many instances, a registered shareholder is a broker or other entity holding shares in street name for one or more customers who beneficially own the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Pacific Stock Transfer Co., 6725 Via Austi Parkway Suite 300, Las Vegas, NV 89119. Their telephone number is (702) 361-3033.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shares of our common stock are subject to outstanding options or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of Outstanding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issued an aggregate of 180,147,046 shares of our common stock to approximately one hundred and eighty-two (182) record holders as of August 21,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dividends to date and have no plans to do so in the immediate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never purchased nor does it own any equity securities of any other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registration statement, the Company has no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Not Registered Under the Securities Act; Rule 144 Eligibility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has not been registered under the Securities Act. Accordingly, the shares of Common Stock issued and outstanding may not be resold absent registration under the Securities Act and applicable state securities laws or an available exemption there 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are restricted securities will be eligible for resale in compliance with Rule 144 (“Rule 144”) or Rule 701 (“Rule 701”) of the Securities Act, subject to the requirements described below. “Restricted Securities,” as defined under Rule 144, were issued and sold by us in reliance on exemptions from the registration requirements of the Securities Act. These shares may be sold in the public market only if registered or if they qualify for an exemption from registration, such as Rule 144 or Rule 701. Below is a summary of the requirements for sales of our common stock pursuant to Rule 144, as in effect on the date of this Form 10, after the effectiveness of this Form 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will be able to sell their shares under Rule 144 beginning 90 days after the effectiveness of this Form 10, subject to all other requirements of Rule</w:t>
      </w:r>
    </w:p>
    <w:p>
      <w:pPr>
        <w:spacing w:after="0" w:line="27" w:lineRule="exact"/>
        <w:rPr>
          <w:sz w:val="20"/>
          <w:szCs w:val="20"/>
          <w:color w:val="auto"/>
        </w:rPr>
      </w:pPr>
    </w:p>
    <w:p>
      <w:pPr>
        <w:jc w:val="both"/>
        <w:ind w:firstLine="8"/>
        <w:spacing w:after="0" w:line="255"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under Rule 144, an affiliate would be entitled to sell within any three-month period a number of shares that does not exceed one percent of the number of shares of our common stock then outstanding. Sales under Rule 144 are also subject to manner of sale provisions and notice requirements and to the availability of current public information about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have no plans to do so soon. Our future dividend policy will be determined by our Board of Directors and will depend on several factors, including our financial condition and performance, our cash needs, income tax consequences and any restrictions that applicable laws, our preferred stock and any future credit or other agreements may then impose.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Broker-dealer practices in connection with transactions in “penny stocks” are regulated by certain penny stock rules adopted by the SEC. Penny stocks are equity securities with a price of less than $5.00. Excluded from the penny stock designation are securities registered on certain national securities exchanges or quoted on NASDAQ, provided that current price and volume information with respect to transactions in such securities is provided by the exchange/system or sold to established customers or accredited investors.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stock rules require a broker-dealer, prior to a transaction in a penny stock not otherwise exempt from the rules, to deliver a standardized risk disclosure document that provides information about penny stocks and the risks in the penny stock market. The broker-dealer also must provide the customer with the current bid and offer quotations for the penny stock, the compensation of the broker-dealer and its salesperson in connection with the transaction, and the monthly account statements showing the market value of each penny stock held in the customer’s account. In addition, the penny stock rules require that prior to a transaction in a penny stock, the broker-dealer must make a special written determination that the penny stock is a suitable investment for the purchaser and receive the purchaser’s written agreement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level of trading activity in the secondary market for a stock that becomes subject to the penny stock rules. As our Common Stock has become subject to the penny stock rules, investors may find it more difficult to sell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has no compensation plans under which the Company’s equity securities are authorized for issuance.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paid</w:t>
            </w:r>
          </w:p>
        </w:tc>
        <w:tc>
          <w:tcPr>
            <w:tcW w:w="160" w:type="dxa"/>
            <w:vAlign w:val="bottom"/>
          </w:tcPr>
          <w:p>
            <w:pPr>
              <w:spacing w:after="0"/>
              <w:rPr>
                <w:sz w:val="20"/>
                <w:szCs w:val="20"/>
                <w:color w:val="auto"/>
              </w:rPr>
            </w:pP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Reason</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Exemption</w:t>
            </w:r>
          </w:p>
        </w:tc>
      </w:tr>
      <w:tr>
        <w:trPr>
          <w:trHeight w:val="210"/>
        </w:trPr>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5/3/2022</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Rule144</w:t>
            </w:r>
          </w:p>
        </w:tc>
      </w:tr>
      <w:tr>
        <w:trPr>
          <w:trHeight w:val="198"/>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Venkateswarlu</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11/11/2022</w:t>
            </w:r>
          </w:p>
        </w:tc>
        <w:tc>
          <w:tcPr>
            <w:tcW w:w="34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Garikapati</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4/16/2024</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Tonja Oquendo</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11/7/2024</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TRG Auto Finance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Wells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McAffee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476,191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Cathy Lance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 McAffee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Brookfield</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Deante Brumfield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Miranda Allen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Wells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Diaz</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Hebel</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Washington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Naffky</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Bennett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Walker</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200,401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Miller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Dayton Greaves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Johnny Walker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Alissa Wells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Wells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238,095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Lolita Smith</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Braden Smith</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Duke Hale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6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Venkateswarlu Garikapati shares were canceled due to non performance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47,413,090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675,000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issued 3,907,945 shares of common stock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These securities were not registered under the Securities Act but were issued in reliance upon the exemption from registration contained in Section 4(a)(2) of the Securities Act and by Rule 506 of Regulation D promulgated there under as a transaction by an issuer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Superstar Platforms Inc.’s capital stock. The summaries and descriptions below do not purport to be complete statements of the relevant provisions of Superstar Platforms Inc.’s articles of incorporation or bylaws, which you must read for complete information about Superstar Platforms Inc.’s capital stock. The articles of incorporation and bylaws are included as exhibits to Superstar Platforms Inc.’s registration statement on Form 10. The summaries and descriptions below do not purport to be complete statements of the Nevada Revised Statutes.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has authorized one billion shares of $0.001 par value Common Stock of which 180,147,046 were issued and outstanding as of each of August 21, 2025. These shares have one vote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issued shares on December 31,2024:</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7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180,147,046</w:t>
            </w:r>
          </w:p>
        </w:tc>
        <w:tc>
          <w:tcPr>
            <w:tcW w:w="168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432"/>
        </w:trPr>
        <w:tc>
          <w:tcPr>
            <w:tcW w:w="7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9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Anti-takeover Provisions in Superstar Platforms Inc.’s Articles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time of filing there is no existing obligation that involves the issuance of preferred stock or common stock (except upon conversion of outstanding shares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Amending the Bylaws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 the Board to make, alter, amend, or repeal our bylaws, subject to the power of the holders of stock having voting power to make, alter, amend, or repeal the bylaws made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provide that special meetings of our shareholders may be called at any time only by (i) the holders of 10% of the voting shares of the Company,</w:t>
      </w:r>
    </w:p>
    <w:p>
      <w:pPr>
        <w:spacing w:after="0" w:line="27" w:lineRule="exact"/>
        <w:rPr>
          <w:sz w:val="20"/>
          <w:szCs w:val="20"/>
          <w:color w:val="auto"/>
        </w:rPr>
      </w:pPr>
    </w:p>
    <w:p>
      <w:pPr>
        <w:ind w:firstLine="8"/>
        <w:spacing w:after="0" w:line="260" w:lineRule="auto"/>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President or (iii) by the Board of Directors or a majority thereof. No business may be transacted at any special meeting except as specified in the notice thereof.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Filling Vacancies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stipulate that any vacancy on the Board of Directors, including vacancies created from an increase in the number of directors, may be filled by the Board of Directors, though less than a quorum, for the unexpected term. The Board of Directors has the full power to increase or decrease the number of directors from time to time without requiring a vote of the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Action Without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the Board may act without a meeting if all the members of the Board consent to the action in writing. Board action through consent allows the Board to make swift decisions, including if a hostile takeover threatens current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Inc./s authorized but unissued shares of common stock and preferred stock will be available for future issuance.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Superstar Platforms Inc.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Inc.’s common stock is quoted on the OTC Pinksheets under the symbol DWIS.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Nevada Revised Statutes provide that we may indemnify our officers and directors against losses or liabilities which arise in their corporate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these provisions could be to dissuade lawsuits against our officers and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Revised Statutes Section 78.7502 provides that: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under this subsection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 is not liable pursuant to NRS 78.138; or (b) acted in good faith and in a manner which he or she reasonably believed to be in or not opposed to the best interests of the corporation, and, with respect to any criminal action or proceeding, had no reasonable cause to believe the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under this subsection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 (a) is not liable pursuant to NRS 78.138; or (b)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indemnification pursuant to this section, unless ordered by a court or advanced pursuant to subsection 2 of Section 78.751, may be made by the corporation only as authorized in each specific case upon a determination that the indemnification of a director, officer, employee, or agent of a corporation is proper in the circumstances. Determination must be made by: (a) the stockholders; (b) the Board of Directors by majority vote of a quorum consisting of directors who were not parties to the action, suit or proceeding; or (c) by independent legal counsel in a written opinion, if (1) a majority vote of a quorum consisting of directors who were not parties to the action, suit or proceeding so orders; or (2) a quorum consisting of directors who were not parties to the action, suit or proceeding cannot be obtained.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Revised Statutes Section 78.751 provides that:</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indemnify any person who is a director, officer, employee, or agent to the extent that the person is successful on the merits or otherwise in defense of: (a) any threatened, pending, or completed action, suit or proceeding, whether civil, criminal, administrative or investigative, including, without limitation, an action by or in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(b) any claim, issue, or matter therein, against expenses, actually and reasonably incurred by the person in connection with defending the action, including, without limitation, attorney’s fees.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articles of incorporation, the bylaws or an agreement made by the corporation,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 The articles of incorporation, the bylaws or an agreement made by the corporation may require the corporation to pay such expenses upon receipt of such an undertaking. The provisions of this subsection do not affect any rights to advancement of expenses to which corporate personnel other than directors or officers may be entitled under any contract or otherwise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pursuant to this section and NRS 78.7502 and advancement of expenses authorized in or ordered by a court pursuant to this section: (a) 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subsection 2, may not be made to or on behalf of any director or officer finally adjudged by a court of competent jurisdiction, after exhaustion of any appeals taken therefrom, to be liable for intentional misconduct, fraud or a knowing violation of law, and such misconduct, fraud or knowing violation was material to the cause of action and (b) continues for a person who has ceased to be a director, officer, employee, or agent and inures to the benefit of the heirs, executors, and administrators of such person.</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articles of incorporation, the bylaws or an agreement made by a corporation provide otherwise, if a person is entitled to indemnification or the advancement of expenses from the corporation and any other person, the corporation is the primary obligor with respect to such indemnification or advancement.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indemnification or to advancement of expenses arising under the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is in effect at the time of such act or omission explicitly authorizes such elimination or impairment after such action or omission has occurred.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and bylaws include provisions that indemnify, to the fullest extent allowable under the Nevada Revised Statutes, the personal liability of directors or officers for monetary damages for actions taken as a director or officer of Superstar Platforms Inc., or for serving at the request of Superstar Platforms Inc. as a director or officer or another position at another corporation or enterprise, as the case may be. Our articles of incorporation and bylaws also provide that Superstar Platforms Inc. must indemnify and advance reasonable expenses to its directors and officers, subject to its receipt of an undertaking from the indemnified party as may be required under the Nevada Revised Statutes. Superstar Platforms Inc.’s bylaws expressly authorize Superstar Platforms Inc. to carry insurance to protect Superstar Platforms Inc.’s directors and officers against any liability asserted against such person and incurred in any such capacity or arising out of such status, whether Superstar Platforms Inc. would have the power to indemnify such person.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Superstar Platforms Inc.’s articles of incorporation and bylaws may discourage shareholders from bringing a lawsuit against directors for breach of their fiduciary duty. These provisions may also have the effect of reducing the likelihood of derivative litigation against Superstar Platforms Inc.’s directors and officers, even though such an action, if successful, might benefit Superstar Platforms Inc. and its shareholders. However, these provisions do not limit or eliminate Superstar Platforms Inc.’s rights, or those of any stockholder, to seek non-monetary relief such as injunction or rescission in the event of a breach of a director’s duty of care. The provisions do not alter the liability of directors under the federal securities laws. In addition, your investment may be adversely affected to the extent that, in a class action or direct suit, Superstar Platforms Inc. pays the costs of settlement and damage awards against directors and officers pursuant to these indemnification provisions. There is currently no pending material litigation or proceeding against any Superstar Platforms Inc. directors, officers, or employees for which indemnification is sought.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intend to enter into separate indemnification agreements with our directors and executive officers, in addition to the indemnification provided for in our articles of incorporation and bylaws. These agreements, among other things, may require us to indemnify our directors and executive officers for certain expenses, including attorneys’ fees, judgments, penalties fines and settlement amounts actually and reasonably incurred by a director or executive officer in any action or proceeding arising out of their services as one of our directors or executive officers, or any other entity to which the person provides services at our request. We believe that these charter provisions and indemnification agreements are necessary to attract and retain qualified people such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historical financials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registration statement entitled “Index to Financial Statements” (and the financial statements and related noted referenced therein).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25"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Articles of Incorporation, as amended, of Superstar Platforms Inc., Inc.</w:t>
      </w:r>
    </w:p>
    <w:p>
      <w:pPr>
        <w:spacing w:after="0" w:line="225"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Bylaws of Superstar Platforms Inc.,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further information with respect to Superstar Platforms Inc. and its common stock, please refer to the registration statement, including its exhibits and schedules. Statements made in this registration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registration statement is not incorporated by reference in this registration statement.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intends that it will be subject to the information and reporting requirements of the Exchange Act and, in accordance with the Exchange Act, will file periodic reports, proxy statements and other information with the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intends to furnish holders of its common stock with annual reports containing consolidated financial statements prepared in accordance with U.S. GAAP and audited and reported on, with an opinion expressed by an independent registered public accounting firm.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registration statement or to which this registration statement referred to you. Superstar Platforms Inc. has not authorized any person to provide you with different information or to make any representation not contained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FINANCIAL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YEAR ENDED DECEMBER 31, 2024 &amp;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240" w:type="dxa"/>
            <w:vAlign w:val="bottom"/>
          </w:tcPr>
          <w:p>
            <w:pPr>
              <w:spacing w:after="0"/>
              <w:rPr>
                <w:sz w:val="20"/>
                <w:szCs w:val="20"/>
                <w:color w:val="auto"/>
              </w:rPr>
            </w:pP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on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audited Financial Statements</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432"/>
        </w:trPr>
        <w:tc>
          <w:tcPr>
            <w:tcW w:w="30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have audited the accompanying balance sheets of </w:t>
      </w:r>
      <w:r>
        <w:rPr>
          <w:rFonts w:ascii="Times New Roman" w:cs="Times New Roman" w:eastAsia="Times New Roman" w:hAnsi="Times New Roman"/>
          <w:sz w:val="18"/>
          <w:szCs w:val="18"/>
          <w:b w:val="1"/>
          <w:bCs w:val="1"/>
          <w:color w:val="auto"/>
        </w:rPr>
        <w:t>Superstar Platforms, Inc.</w:t>
      </w:r>
      <w:r>
        <w:rPr>
          <w:rFonts w:ascii="Times New Roman" w:cs="Times New Roman" w:eastAsia="Times New Roman" w:hAnsi="Times New Roman"/>
          <w:sz w:val="18"/>
          <w:szCs w:val="18"/>
          <w:color w:val="auto"/>
        </w:rPr>
        <w:t xml:space="preserve"> as of December 31, 2024 and 2023, and the related statements of operations, changes in stockholders’ deficit, and cash flows for each of the two years in the period ended December 31, 2024 and 2023, and the related notes (collectively referred to as the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disclosed in Note 2 to the financial statement, the Company incurred a net loss of $(164,014) and an accumulated deficit of $(1,499,668). These conditions raise substantial doubt about the Company’s ability to continue as a going concern. These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Going Concern Uncertainty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See also Going Concern Uncertainty explanatory paragraph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has significant operating losses and a working capital deficiency. The ability of the Company to continue as a going concern is dependent on obtaining additional working capital funding from the sale of equity and/or debt securities to execute its plans and continue operations. These conditions raise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performed to address the matter included.</w:t>
      </w:r>
    </w:p>
    <w:p>
      <w:pPr>
        <w:spacing w:after="0" w:line="225" w:lineRule="exact"/>
        <w:rPr>
          <w:sz w:val="20"/>
          <w:szCs w:val="20"/>
          <w:color w:val="auto"/>
        </w:rPr>
      </w:pPr>
    </w:p>
    <w:p>
      <w:pPr>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executive officers, and key members of management, of the Company, regarding factors that would have an impact on the Company’s ability to continue as a going concern,</w:t>
      </w:r>
    </w:p>
    <w:p>
      <w:pPr>
        <w:jc w:val="both"/>
        <w:ind w:left="6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plan for addressing the adverse effects of the conditions identified, including assessing the reasonableness of forecasted information and underlying assumptions by comparing to actual results of prior periods and actual results achieved to date, and utilizing our knowledge of the entity, its business and management in considering liquidity needs and the Company’s ability to generate sufficient cash flow,</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possibility of raising additional debt or credit,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disclosures in the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Boladale Lawal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Boladale Lawal &amp; CO (PCAOB ID 6993)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Lagos, 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1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Salary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530,000</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307,674</w:t>
            </w:r>
          </w:p>
        </w:tc>
        <w:tc>
          <w:tcPr>
            <w:tcW w:w="100" w:type="dxa"/>
            <w:vAlign w:val="bottom"/>
          </w:tcPr>
          <w:p>
            <w:pPr>
              <w:spacing w:after="0"/>
              <w:rPr>
                <w:sz w:val="18"/>
                <w:szCs w:val="18"/>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273,660</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r>
      <w:tr>
        <w:trPr>
          <w:trHeight w:val="209"/>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1,057,674</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893,660</w:t>
            </w:r>
          </w:p>
        </w:tc>
        <w:tc>
          <w:tcPr>
            <w:tcW w:w="1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171,731,956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154,731,956 issued and outstanding as of December 31, 2024 and December 31, 2023,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171,732</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154,732</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270,316</w:t>
            </w:r>
          </w:p>
        </w:tc>
        <w:tc>
          <w:tcPr>
            <w:tcW w:w="100" w:type="dxa"/>
            <w:vAlign w:val="bottom"/>
          </w:tcPr>
          <w:p>
            <w:pPr>
              <w:spacing w:after="0"/>
              <w:rPr>
                <w:sz w:val="18"/>
                <w:szCs w:val="18"/>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287,268</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(1,499,668)</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(1,335,654)</w:t>
            </w:r>
          </w:p>
        </w:tc>
      </w:tr>
      <w:tr>
        <w:trPr>
          <w:trHeight w:val="20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9"/>
              </w:rPr>
              <w:t>DECEMBER 31, 2023</w:t>
            </w:r>
          </w:p>
        </w:tc>
      </w:tr>
      <w:tr>
        <w:trPr>
          <w:trHeight w:val="209"/>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Officers Salary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120,000</w:t>
            </w:r>
          </w:p>
        </w:tc>
      </w:tr>
      <w:tr>
        <w:trPr>
          <w:trHeight w:val="23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3,660</w:t>
            </w: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interest and income taxes;</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171,731,956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154,731,956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on January 01,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December 31,2023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on January 01,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December 31, 2024</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color w:val="auto"/>
        </w:rPr>
        <w:t>Statement of Stockholder’s Equity</w:t>
      </w:r>
    </w:p>
    <w:p>
      <w:pPr>
        <w:spacing w:after="0" w:line="9"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color w:val="auto"/>
        </w:rPr>
        <w:t>For The Year Ended December 31, 2024 &amp; 2023</w:t>
      </w:r>
    </w:p>
    <w:p>
      <w:pPr>
        <w:spacing w:after="0" w:line="20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Common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4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Accumulated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Paid-In-Capital</w:t>
            </w:r>
          </w:p>
        </w:tc>
        <w:tc>
          <w:tcPr>
            <w:tcW w:w="14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Income</w:t>
            </w:r>
          </w:p>
        </w:tc>
        <w:tc>
          <w:tcPr>
            <w:tcW w:w="118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132,731,956</w:t>
            </w:r>
          </w:p>
        </w:tc>
        <w:tc>
          <w:tcPr>
            <w:tcW w:w="34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132,732</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287,268</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(1,211,994)</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(791,994)</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22,000,000</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(123,660)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154,731,956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287,268</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(1,335,654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154,731,956</w:t>
            </w:r>
          </w:p>
        </w:tc>
        <w:tc>
          <w:tcPr>
            <w:tcW w:w="34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154,732</w:t>
            </w:r>
          </w:p>
        </w:tc>
        <w:tc>
          <w:tcPr>
            <w:tcW w:w="340" w:type="dxa"/>
            <w:vAlign w:val="bottom"/>
            <w:vMerge w:val="continue"/>
          </w:tcPr>
          <w:p>
            <w:pPr>
              <w:spacing w:after="0"/>
              <w:rPr>
                <w:sz w:val="15"/>
                <w:szCs w:val="15"/>
                <w:color w:val="auto"/>
              </w:rPr>
            </w:pPr>
          </w:p>
        </w:tc>
        <w:tc>
          <w:tcPr>
            <w:tcW w:w="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287,268</w:t>
            </w:r>
          </w:p>
        </w:tc>
        <w:tc>
          <w:tcPr>
            <w:tcW w:w="340" w:type="dxa"/>
            <w:vAlign w:val="bottom"/>
            <w:vMerge w:val="continue"/>
          </w:tcPr>
          <w:p>
            <w:pPr>
              <w:spacing w:after="0"/>
              <w:rPr>
                <w:sz w:val="15"/>
                <w:szCs w:val="15"/>
                <w:color w:val="auto"/>
              </w:rPr>
            </w:pPr>
          </w:p>
        </w:tc>
        <w:tc>
          <w:tcPr>
            <w:tcW w:w="11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(1,335,654)</w:t>
            </w:r>
          </w:p>
        </w:tc>
        <w:tc>
          <w:tcPr>
            <w:tcW w:w="320" w:type="dxa"/>
            <w:vAlign w:val="bottom"/>
            <w:vMerge w:val="continue"/>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(893,654)</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17,000,000</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(16,952)</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(164,014)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171,731,956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270,316</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(1,057,620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-1207770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-925195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-616585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-325120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6"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3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00" w:space="440"/>
            <w:col w:w="8260"/>
          </w:cols>
          <w:pgMar w:left="320" w:top="684"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70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auto"/>
              </w:rPr>
              <w:t>DECEMBER 31, 2024</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(164,014)</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(123,660)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as of non-cash items;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 payable</w:t>
            </w:r>
          </w:p>
        </w:tc>
        <w:tc>
          <w:tcPr>
            <w:tcW w:w="1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164,014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123,666</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assets</w:t>
            </w:r>
          </w:p>
        </w:tc>
        <w:tc>
          <w:tcPr>
            <w:tcW w:w="22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of loan from sponsors</w:t>
            </w:r>
          </w:p>
        </w:tc>
        <w:tc>
          <w:tcPr>
            <w:tcW w:w="22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equivalents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 at beginning of the period</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 at end of the period</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audited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 &amp;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Superstar Platforms, Inc (Formerly Dinewise, Inc), (the “Company”) got incorporated on August 02, 2002, under the laws of the state of Nevada, a leading national technology conglomerate, is the company that seeks to own and control a diversified portfolio of subsidiaries across various industries. Growth will primarily be driven through strategic acquisitions. Dinewise, Inc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decided to abandon its current food service business model and management has decided to completely focus on funding for the Pawn Shop industry.</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2024, the company filed an amendment to create a class of Series A preference share @ 0.001 per share Also, on May 7, 2024, the company filed a certificate of amendment to increase the aggregate number of shares which the corporation has authority to issue from 250,000.00 Two Hundred and Fifty Million shares of common stock par value 0.001 to One Billion shares at (1,000,000,000) @ 0.001 per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as of December 31, 2024, and 2023, have been prepared using generally accepted accounting principles in the United States of America applicable to a going concern, which contemplates the realization of assets and liquidation of liabilities in the normal course of business. The cash revenues and tracking associated with PawnTrust were excluded from the audit to maintain alignment with GAAP standards, The Company has accumulated deficit of $(1,499,668) as of December 31, 2024. The company currently does not have a business operation; these factors raise substantial doubt about company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 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December 31, 2024, and December 31, 2023.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did not have any interest and penalties associated with tax positions. As of December 31, 2024, and 2023, the Company did not have any significant unrecognized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 ASC 450, subtopic 450-20 of the FASB Accounting Standards Codification to report accounting for contingencies and commitments, respectively. Certain conditions may exist as of the date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that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support of the Company’s efforts and cash requirements, it may rely on advances from related parties until such time that the Company can support its operations or attains adequate financing through sales of its equity or traditional debt financing. Amounts represent advances or amounts paid in satisfaction of liabilities. The advances were considered temporary in nature and were not formalized by a promissory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Michael Farr had advanced the Company $ ,674 and $273,660 respectively to cover the Company’s operating expenses. The related party loan is non-interest bearing, due upon demand and unsecured. The note was transferred from Michael Farr to Mel Farr,Jr. as a gift.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ACCRUED SALARY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salary represents payables to The Chief Executive Officer and other officers of the company for their services to the company. As of December 31, 2024 and 2023 the company accrued $660,000 and $530,000 as officers’ compensation,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 PAYABLE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On March 17, 2019, the company entered into a note payable agreement with </w:t>
      </w:r>
      <w:r>
        <w:rPr>
          <w:rFonts w:ascii="Times New Roman" w:cs="Times New Roman" w:eastAsia="Times New Roman" w:hAnsi="Times New Roman"/>
          <w:sz w:val="18"/>
          <w:szCs w:val="18"/>
          <w:b w:val="1"/>
          <w:bCs w:val="1"/>
          <w:color w:val="auto"/>
        </w:rPr>
        <w:t>Melvin Farr, Jr</w:t>
      </w:r>
      <w:r>
        <w:rPr>
          <w:rFonts w:ascii="Times New Roman" w:cs="Times New Roman" w:eastAsia="Times New Roman" w:hAnsi="Times New Roman"/>
          <w:sz w:val="18"/>
          <w:szCs w:val="18"/>
          <w:color w:val="auto"/>
        </w:rPr>
        <w:t xml:space="preserve"> the notes is non-interest bearing. There was a balance of $60,000 on the note as of December 31, 2024 and 2023</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common stock outstanding of 171,731,956 and 154,731,956 shares as of December 31, 2024, and 2023. The Company has common stock outstanding of 180,147,046 as of August 21,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ectPr>
          <w:pgSz w:w="11900" w:h="16838" w:orient="portrait"/>
          <w:cols w:equalWidth="0" w:num="1">
            <w:col w:w="11240"/>
          </w:cols>
          <w:pgMar w:left="320" w:top="684" w:right="339" w:bottom="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 other than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2025, the company filed a certificate of amendment for name change to Superstar Platforms,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93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6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08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Principal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office of the Corporation shall be located at such place as the Board of Directors may determine within or outside the State of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Other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have such other offices as the Board of Directors may determine or the business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Annual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of the stockholders shall be held each year on a date and at a time fixed by the Board of Directors for the purpose of electing directors and transacting other corporate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Special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Special meetings of stockholders may be called by the Chairperson of the Board, Chief Executive Officer, a majority of the Board of Directors, or stockholders holding not less than 10% of all outstanding shares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Place of Meetings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Meetings of the stockholders shall be held at the principal office of the Corporation or at such other place (including remote communication, if authorized) as the Board may designate.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Notice of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shall be given not less than 10 nor more than 60 days before the date of the meeting. Notice may be given electronically to shareholders consenting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required by law or the Articles of Incorporation, a quorum shall consist of a majority of shares entitled to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Voting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outstanding share shall be entitled to one vote. Action is taken by a majority of votes cast unless a greater requirement is imposed by law or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ARTICLE III –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General Powers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its Board of Directors, except as may be otherwise provided by law or the Articles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Number and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directors shall be fixed from time to time by resolution of the Board. Directors need not be Nevada residents 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Term of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serve until the next annual meeting of stockholders and until their successors are duly elected and qualified.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meetings of the Board may be held without notice. Special meetings require 24 hours’ notice unless waived.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 and Voting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majority of directors shall constitute a quorum. The act of a majority of the directors present at a meeting at which a quorum is present shall be the act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establish one or more committees (e.g., Audit, Compensation, Nominating) and delegate authority to such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Action Without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required or permitted to be taken at a meeting may be taken without a meeting if all directors consent in writing or by electronic transmission.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officers shall include at a minimum a Chief Executive Officer, a Secretary, and a Treasurer, and may include a President, one or more Vice Presidents, and such other officers as the Board may appoint.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and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elected annually by the Board and serve at its pleasure.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Duties of Officers</w:t>
      </w:r>
    </w:p>
    <w:p>
      <w:pPr>
        <w:spacing w:after="0" w:line="225" w:lineRule="exact"/>
        <w:rPr>
          <w:sz w:val="20"/>
          <w:szCs w:val="20"/>
          <w:color w:val="auto"/>
        </w:rPr>
      </w:pPr>
    </w:p>
    <w:p>
      <w:pPr>
        <w:ind w:left="660" w:hanging="328"/>
        <w:spacing w:after="0" w:line="26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Executive Officer (Michael Farr): </w:t>
      </w:r>
      <w:r>
        <w:rPr>
          <w:rFonts w:ascii="Times New Roman" w:cs="Times New Roman" w:eastAsia="Times New Roman" w:hAnsi="Times New Roman"/>
          <w:sz w:val="18"/>
          <w:szCs w:val="18"/>
          <w:color w:val="auto"/>
        </w:rPr>
        <w:t>Has general supervision and control over the business and affairs of the Corporation. Acts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public company representative.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(if separate): </w:t>
      </w:r>
      <w:r>
        <w:rPr>
          <w:rFonts w:ascii="Times New Roman" w:cs="Times New Roman" w:eastAsia="Times New Roman" w:hAnsi="Times New Roman"/>
          <w:sz w:val="18"/>
          <w:szCs w:val="18"/>
          <w:color w:val="auto"/>
        </w:rPr>
        <w:t>Handles daily operations and may act in the CEO’s absence.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Maintains corporate records and minutes.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Responsible for financial management and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officers may perform such duties as prescribed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Nevada law, the Corporation shall indemnify any person who serves or has served as a director, officer, employee, or agent of the Corporation against all expenses and liabilities incurred in connection with such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Certificates and Uncertificated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Corporation may be certificated or uncertificated. All stock issuances shall be recorded in the share register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Transfers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Transfers shall be made only on the Corporation’s books by the record holder or an authorized agent. Reasonable restrictions on transfer (e.g., Rule 144) may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Lost or Destroyed Certificates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require a bond to replace a lost, stolen, or destroyed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 CORPORATE RECORDS AND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Corporation shall maintain accurate financial records and comply with all SEC reporting requirements applicable to public companies. The CEO shall be responsible for ensuring timely filings, investor communications, and material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determined by the Board of Directors and may be changed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IX – AMENDMENTS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Bylaws may be amended, altered, or repealed by a majority of the Board of Directors or by stockholders holding a majority of the voting power, except as otherwise required by law or the Articles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ADOPTION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Bylaws were adopted by the Board of Directors of Superstar Platforms, Inc. on the 30th day of March,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Farr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Christina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Christina Farr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3"/>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9"/>
    </w:lvl>
  </w:abstractNum>
  <w:abstractNum w:abstractNumId="11">
    <w:nsid w:val="6B68079A"/>
    <w:multiLevelType w:val="hybridMultilevel"/>
    <w:lvl w:ilvl="0">
      <w:lvlJc w:val="left"/>
      <w:lvlText w:val="%1."/>
      <w:numFmt w:val="decimal"/>
      <w:start w:val="144"/>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A"/>
      <w:numFmt w:val="bullet"/>
      <w:start w:val="1"/>
    </w:lvl>
  </w:abstractNum>
  <w:abstractNum w:abstractNumId="17">
    <w:nsid w:val="7C83E458"/>
    <w:multiLevelType w:val="hybridMultilevel"/>
    <w:lvl w:ilvl="0">
      <w:lvlJc w:val="left"/>
      <w:lvlText w:val="B"/>
      <w:numFmt w:val="bullet"/>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2025-09-19T13:16:37Z</dcterms:created>
  <dcterms:modified xsi:type="dcterms:W3CDTF">2025-09-19T13:16:37Z</dcterms:modified>
</cp:coreProperties>
</file>