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caps w:val="false"/>
          <w:smallCaps w:val="false"/>
        </w:rPr>
      </w:pPr>
      <w:bookmarkStart w:id="0" w:name="form10-q.htm"/>
      <w:bookmarkStart w:id="1" w:name="ksform10q"/>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0_edei--DocumentType_c20260101__20"/>
      <w:bookmarkEnd w:id="2"/>
      <w:r>
        <w:rPr>
          <w:rFonts w:ascii="Times New Roman;Times;Serif" w:hAnsi="Times New Roman;Times;Serif"/>
          <w:b/>
          <w:i w:val="false"/>
          <w:caps w:val="false"/>
          <w:smallCaps w:val="false"/>
          <w:sz w:val="36"/>
        </w:rPr>
        <w:t>10-Q</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bookmarkStart w:id="3" w:name="xdx_902_edei--DocumentQuarterlyReport_c2"/>
      <w:bookmarkEnd w:id="3"/>
      <w:r>
        <w:rPr>
          <w:caps w:val="false"/>
          <w:smallCaps w:val="false"/>
        </w:rPr>
        <w:t xml:space="preserve">☒ </w:t>
      </w:r>
      <w:r>
        <w:rPr>
          <w:rFonts w:ascii="Times New Roman;Times;Serif" w:hAnsi="Times New Roman;Times;Serif"/>
          <w:b/>
          <w:i w:val="false"/>
          <w:caps w:val="false"/>
          <w:smallCaps w:val="false"/>
          <w:sz w:val="20"/>
        </w:rPr>
        <w:t>QUARTERLY REPORT PURSUANT TO SECTION 13 OR 15(d) OF THE SECURITIES EXCHANGE ACT OF 1934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D_edei--DocumentPeriodEndDate_c202"/>
      <w:bookmarkEnd w:id="4"/>
      <w:r>
        <w:rPr>
          <w:rFonts w:ascii="Times New Roman;Times;Serif" w:hAnsi="Times New Roman;Times;Serif"/>
          <w:b/>
          <w:i w:val="false"/>
          <w:caps w:val="false"/>
          <w:smallCaps w:val="false"/>
          <w:sz w:val="20"/>
        </w:rPr>
        <w:t xml:space="preserve">June 30, </w:t>
      </w:r>
      <w:bookmarkStart w:id="5" w:name="xdx_90D_edei--DocumentFiscalYearFocus_c2"/>
      <w:bookmarkEnd w:id="5"/>
      <w:r>
        <w:rPr>
          <w:rFonts w:ascii="Times New Roman;Times;Serif" w:hAnsi="Times New Roman;Times;Serif"/>
          <w:b/>
          <w:i w:val="false"/>
          <w:caps w:val="false"/>
          <w:smallCaps w:val="false"/>
          <w:sz w:val="20"/>
        </w:rPr>
        <w:t>2026</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bookmarkStart w:id="6" w:name="xdx_90A_edei--DocumentTransitionReport_c"/>
      <w:bookmarkEnd w:id="6"/>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________ to ________</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Commission file number:</w:t>
      </w:r>
      <w:r>
        <w:rPr>
          <w:rFonts w:ascii="Times New Roman;Times;Serif" w:hAnsi="Times New Roman;Times;Serif"/>
          <w:b w:val="false"/>
          <w:i w:val="false"/>
          <w:caps w:val="false"/>
          <w:smallCaps w:val="false"/>
          <w:sz w:val="20"/>
        </w:rPr>
        <w:t xml:space="preserve"> </w:t>
      </w:r>
      <w:bookmarkStart w:id="7" w:name="xdx_90A_edei--EntityFileNumber_c20260101"/>
      <w:bookmarkEnd w:id="7"/>
      <w:r>
        <w:rPr>
          <w:rFonts w:ascii="Times New Roman;Times;Serif" w:hAnsi="Times New Roman;Times;Serif"/>
          <w:b w:val="false"/>
          <w:i w:val="false"/>
          <w:caps w:val="false"/>
          <w:smallCaps w:val="false"/>
          <w:sz w:val="20"/>
          <w:u w:val="single"/>
        </w:rPr>
        <w:t>000-56744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bookmarkStart w:id="8" w:name="xdx_901_edei--EntityRegistrantName_c2026"/>
      <w:bookmarkEnd w:id="8"/>
      <w:r>
        <w:rPr>
          <w:rFonts w:ascii="Times New Roman;Times;Serif" w:hAnsi="Times New Roman;Times;Serif"/>
          <w:b/>
          <w:i w:val="false"/>
          <w:caps w:val="false"/>
          <w:smallCaps w:val="false"/>
          <w:sz w:val="36"/>
        </w:rPr>
        <w:t>Superstar Platforms,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jc w:val="center"/>
        <w:rPr>
          <w:caps w:val="false"/>
          <w:smallCaps w:val="false"/>
        </w:rPr>
      </w:pPr>
      <w:r>
        <w:rPr>
          <w:caps w:val="false"/>
          <w:smallCaps w:val="false"/>
        </w:rPr>
        <w:t> </w:t>
      </w:r>
    </w:p>
    <w:tbl>
      <w:tblPr>
        <w:tblW w:w="4120" w:type="dxa"/>
        <w:jc w:val="left"/>
        <w:tblInd w:w="0" w:type="dxa"/>
        <w:tblLayout w:type="fixed"/>
        <w:tblCellMar>
          <w:top w:w="0" w:type="dxa"/>
          <w:left w:w="0" w:type="dxa"/>
          <w:bottom w:w="0" w:type="dxa"/>
          <w:right w:w="0" w:type="dxa"/>
        </w:tblCellMar>
      </w:tblPr>
      <w:tblGrid>
        <w:gridCol w:w="2525"/>
        <w:gridCol w:w="60"/>
        <w:gridCol w:w="1535"/>
      </w:tblGrid>
      <w:tr>
        <w:trPr/>
        <w:tc>
          <w:tcPr>
            <w:tcW w:w="252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5_edei--EntityIncorporationStateCo"/>
            <w:bookmarkEnd w:id="9"/>
            <w:r>
              <w:rPr>
                <w:rFonts w:ascii="Times New Roman;Times;Serif" w:hAnsi="Times New Roman;Times;Serif"/>
                <w:b/>
                <w:i w:val="false"/>
                <w:caps w:val="false"/>
                <w:smallCaps w:val="false"/>
                <w:sz w:val="20"/>
              </w:rPr>
              <w:t>Nevada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9_edei--EntityTaxIdentificationNum"/>
            <w:bookmarkEnd w:id="10"/>
            <w:r>
              <w:rPr>
                <w:rFonts w:ascii="Times New Roman;Times;Serif" w:hAnsi="Times New Roman;Times;Serif"/>
                <w:b/>
                <w:i w:val="false"/>
                <w:caps w:val="false"/>
                <w:smallCaps w:val="false"/>
                <w:sz w:val="20"/>
              </w:rPr>
              <w:t>01-0741042</w:t>
            </w:r>
          </w:p>
        </w:tc>
      </w:tr>
      <w:tr>
        <w:trPr/>
        <w:tc>
          <w:tcPr>
            <w:tcW w:w="2525"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5"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1" w:name="xdx_904_edei--EntityAddressAddressLine1_"/>
      <w:bookmarkEnd w:id="11"/>
      <w:r>
        <w:rPr>
          <w:rFonts w:ascii="Times New Roman;Times;Serif" w:hAnsi="Times New Roman;Times;Serif"/>
          <w:b/>
          <w:i w:val="false"/>
          <w:caps w:val="false"/>
          <w:smallCaps w:val="false"/>
          <w:sz w:val="20"/>
        </w:rPr>
        <w:t>586 Cobb Parkway S Suite 900</w:t>
      </w:r>
      <w:bookmarkStart w:id="12" w:name="xdx_90B_edei--EntityAddressCityOrTown_c2"/>
      <w:bookmarkEnd w:id="12"/>
      <w:r>
        <w:rPr>
          <w:rFonts w:ascii="Times New Roman;Times;Serif" w:hAnsi="Times New Roman;Times;Serif"/>
          <w:b/>
          <w:i w:val="false"/>
          <w:caps w:val="false"/>
          <w:smallCaps w:val="false"/>
          <w:sz w:val="20"/>
        </w:rPr>
        <w:t>Marietta,</w:t>
      </w:r>
      <w:bookmarkStart w:id="13" w:name="xdx_900_edei--EntityAddressStateOrProvin"/>
      <w:bookmarkEnd w:id="13"/>
      <w:r>
        <w:rPr>
          <w:rFonts w:ascii="Times New Roman;Times;Serif" w:hAnsi="Times New Roman;Times;Serif"/>
          <w:b/>
          <w:i w:val="false"/>
          <w:caps w:val="false"/>
          <w:smallCaps w:val="false"/>
          <w:sz w:val="20"/>
        </w:rPr>
        <w:t>GA</w:t>
      </w:r>
      <w:bookmarkStart w:id="14" w:name="xdx_905_edei--EntityAddressPostalZipCode"/>
      <w:bookmarkEnd w:id="14"/>
      <w:r>
        <w:rPr>
          <w:rFonts w:ascii="Times New Roman;Times;Serif" w:hAnsi="Times New Roman;Times;Serif"/>
          <w:b/>
          <w:i w:val="false"/>
          <w:caps w:val="false"/>
          <w:smallCaps w:val="false"/>
          <w:sz w:val="20"/>
        </w:rPr>
        <w:t>30060</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bookmarkStart w:id="15" w:name="xdx_909_edei--CityAreaCode_c20260101__20"/>
      <w:bookmarkEnd w:id="15"/>
      <w:r>
        <w:rPr>
          <w:rFonts w:ascii="Times New Roman;Times;Serif" w:hAnsi="Times New Roman;Times;Serif"/>
          <w:b/>
          <w:i w:val="false"/>
          <w:caps w:val="false"/>
          <w:smallCaps w:val="false"/>
          <w:sz w:val="20"/>
        </w:rPr>
        <w:t>(650)</w:t>
      </w:r>
      <w:bookmarkStart w:id="16" w:name="xdx_90A_edei--LocalPhoneNumber_c20260101"/>
      <w:bookmarkEnd w:id="16"/>
      <w:r>
        <w:rPr>
          <w:rFonts w:ascii="Times New Roman;Times;Serif" w:hAnsi="Times New Roman;Times;Serif"/>
          <w:b/>
          <w:i w:val="false"/>
          <w:caps w:val="false"/>
          <w:smallCaps w:val="false"/>
          <w:sz w:val="20"/>
        </w:rPr>
        <w:t>228-0680</w:t>
      </w:r>
    </w:p>
    <w:p>
      <w:pPr>
        <w:pStyle w:val="TextBody"/>
        <w:bidi w:val="0"/>
        <w:ind w:left="0" w:right="0" w:hanging="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jc w:val="center"/>
        <w:rPr>
          <w:caps w:val="false"/>
          <w:smallCaps w:val="false"/>
        </w:rPr>
      </w:pPr>
      <w:r>
        <w:rPr>
          <w:caps w:val="false"/>
          <w:smallCaps w:val="false"/>
        </w:rPr>
        <w:t> </w:t>
      </w:r>
    </w:p>
    <w:tbl>
      <w:tblPr>
        <w:tblW w:w="7950" w:type="dxa"/>
        <w:jc w:val="left"/>
        <w:tblInd w:w="0" w:type="dxa"/>
        <w:tblLayout w:type="fixed"/>
        <w:tblCellMar>
          <w:top w:w="0" w:type="dxa"/>
          <w:left w:w="0" w:type="dxa"/>
          <w:bottom w:w="28" w:type="dxa"/>
          <w:right w:w="0" w:type="dxa"/>
        </w:tblCellMar>
      </w:tblPr>
      <w:tblGrid>
        <w:gridCol w:w="2540"/>
        <w:gridCol w:w="60"/>
        <w:gridCol w:w="1580"/>
        <w:gridCol w:w="60"/>
        <w:gridCol w:w="3710"/>
      </w:tblGrid>
      <w:tr>
        <w:trPr/>
        <w:tc>
          <w:tcPr>
            <w:tcW w:w="254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25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7" w:name="xdx_902_edei--Security12bTitle_c20260101"/>
            <w:bookmarkEnd w:id="17"/>
            <w:r>
              <w:rPr>
                <w:rFonts w:ascii="Times New Roman;Times;Serif" w:hAnsi="Times New Roman;Times;Serif"/>
                <w:b w:val="false"/>
                <w:i w:val="false"/>
                <w:caps w:val="false"/>
                <w:smallCaps w:val="false"/>
                <w:sz w:val="20"/>
              </w:rPr>
              <w:t>Common Stock, $.01 par value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6_edei--TradingSymbol_c20260101__2"/>
            <w:bookmarkEnd w:id="18"/>
            <w:r>
              <w:rPr>
                <w:rFonts w:ascii="Times New Roman;Times;Serif" w:hAnsi="Times New Roman;Times;Serif"/>
                <w:b w:val="false"/>
                <w:i w:val="false"/>
                <w:caps w:val="false"/>
                <w:smallCaps w:val="false"/>
                <w:sz w:val="20"/>
              </w:rPr>
              <w:t>SPST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OTC Markets</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12(g) of the Act:</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well-known seasoned issuer, as defined in Rule 405 of the Securities Act. Yes ☐ No ☒</w:t>
      </w:r>
    </w:p>
    <w:p>
      <w:pPr>
        <w:pStyle w:val="TextBody"/>
        <w:shd w:fill="FFFFFF" w:val="clear"/>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not required to file reports pursuant to Section 13 or Section 15(d) of the Act. Yes ☐ No ☒</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jc w:val="both"/>
        <w:rPr>
          <w:rFonts w:ascii="Times New Roman;Times;Serif" w:hAnsi="Times New Roman;Times;Serif"/>
          <w:b w:val="false"/>
          <w:i w:val="false"/>
          <w:caps w:val="false"/>
          <w:smallCaps w:val="false"/>
          <w:sz w:val="20"/>
        </w:rPr>
      </w:pPr>
      <w:bookmarkStart w:id="19" w:name="xdx_900_edei--EntityCurrentReportingStat"/>
      <w:bookmarkEnd w:id="19"/>
      <w:r>
        <w:rPr>
          <w:rFonts w:ascii="Times New Roman;Times;Serif" w:hAnsi="Times New Roman;Times;Serif"/>
          <w:b w:val="false"/>
          <w:i w:val="false"/>
          <w:caps w:val="false"/>
          <w:smallCaps w:val="false"/>
          <w:sz w:val="20"/>
        </w:rPr>
        <w:t>Yes ☒ No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w:t>
      </w:r>
      <w:bookmarkStart w:id="20" w:name="xdx_900_edei--EntityInteractiveDataCurre"/>
      <w:bookmarkEnd w:id="20"/>
      <w:r>
        <w:rPr>
          <w:rFonts w:ascii="Times New Roman;Times;Serif" w:hAnsi="Times New Roman;Times;Serif"/>
          <w:b w:val="false"/>
          <w:i w:val="false"/>
          <w:caps w:val="false"/>
          <w:smallCaps w:val="false"/>
          <w:sz w:val="20"/>
        </w:rPr>
        <w:t>Yes ☒ No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“non-accelerated filer,” “smaller reporting company,” and “emerging growth company” in Rule 12b-2 of the Exchange Act.</w:t>
      </w:r>
    </w:p>
    <w:p>
      <w:pPr>
        <w:pStyle w:val="TextBody"/>
        <w:bidi w:val="0"/>
        <w:jc w:val="both"/>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1" w:name="xdx_90C_edei--EntityFilerCategory_c20260"/>
            <w:bookmarkEnd w:id="21"/>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bookmarkStart w:id="22" w:name="xdx_904_edei--EntitySmallBusiness_c20260"/>
            <w:bookmarkEnd w:id="22"/>
            <w:r>
              <w:rPr>
                <w:caps w:val="false"/>
                <w:smallCaps w:val="false"/>
              </w:rPr>
              <w:t>☒</w:t>
            </w:r>
          </w:p>
        </w:tc>
      </w:tr>
      <w:tr>
        <w:trPr/>
        <w:tc>
          <w:tcPr>
            <w:tcW w:w="206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left"/>
              <w:rPr>
                <w:caps w:val="false"/>
                <w:smallCaps w:val="false"/>
              </w:rPr>
            </w:pPr>
            <w:bookmarkStart w:id="23" w:name="xdx_903_edei--EntityEmergingGrowthCompan"/>
            <w:bookmarkEnd w:id="23"/>
            <w:r>
              <w:rPr>
                <w:caps w:val="false"/>
                <w:smallCaps w:val="false"/>
              </w:rPr>
              <w:t>☐</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 240.10D-1(b).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24" w:name="xdx_90A_edei--EntityShellCompany_dbF_c20"/>
      <w:bookmarkEnd w:id="24"/>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July 21, 2026, there were </w:t>
      </w:r>
      <w:bookmarkStart w:id="25" w:name="xdx_903_edei--EntityCommonStockSharesOut"/>
      <w:bookmarkEnd w:id="25"/>
      <w:r>
        <w:rPr>
          <w:rFonts w:ascii="Times New Roman;Times;Serif" w:hAnsi="Times New Roman;Times;Serif"/>
          <w:b/>
          <w:i w:val="false"/>
          <w:caps w:val="false"/>
          <w:smallCaps w:val="false"/>
          <w:sz w:val="20"/>
        </w:rPr>
        <w:t>182,289,904</w:t>
      </w:r>
      <w:r>
        <w:rPr>
          <w:rFonts w:ascii="Times New Roman;Times;Serif" w:hAnsi="Times New Roman;Times;Serif"/>
          <w:b w:val="false"/>
          <w:i w:val="false"/>
          <w:caps w:val="false"/>
          <w:smallCaps w:val="false"/>
          <w:sz w:val="20"/>
        </w:rPr>
        <w:t xml:space="preserve"> shares of the registrant’s common stock issued and outstanding.</w:t>
      </w:r>
    </w:p>
    <w:p>
      <w:pPr>
        <w:pStyle w:val="TextBody"/>
        <w:bidi w:val="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Note Regarding Forward-Looking Statements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clearly indicates otherwise, when used in this report “we,” “us,” “our,” “Superstar Platforms, Inc.,” the “Company,” or “our Company” refers to Superstar Platforms, Inc. and, where applicable, its subsidiaries.</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on Form 10-Q (this “Report”) contains forward-looking statements within the meaning of Section 27A of the Securities Act of 1933, as amended (the “Securities Act”), and Section 21E of the Securities Exchange Act of 1934, as amended (the “Exchange Act”).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discuss matters that are not historical facts and are based on current expectations and assumptions regarding future events. Because forward-looking statements relate to future events or conditions, they may include words such as “anticipate,” “believe,” “estimate,” “intend,” “could,” “should,” “would,” “may,” “seek,” “plan,” “might,” “will,” “expect,” “predict,” “project,” “forecast,” “potential,” “continue,” or similar expressions, including the negatives of those terms. These forward-looking statements appear in various places throughout this Report and include statements regarding, including without limitation, possible or assumed future results of operations; business strategies and objectives; future cash flows and liquidity; financing plans and capital requirements; plans and objectives of management; future operations and business plans; and any other statements that are not historical facts. Forward-looking statements may also appear in our other filings with the Securities and Exchange Commission, including reports on Form 8-K, in press releases, investor presentations, information posted on our website, and other public statements made by us. These forward-looking statements are not guarantees of future performance and involve risks, uncertainties, and assumptions that are difficult to predict. Many of these risks and uncertainties are outside of our control and could cause actual results to differ materially from those expressed or implied by the forward-looking statements. Factors that could cause actual results to differ materially include, but are not limited to, those discussed under “Item 1A – Risk Factors” and elsewhere in this Report. Considering these risks, uncertainties, and assumptions, the events described in the forward-looking statements may not occur or may occur to a different extent or at a different time than we have described. You are cautioned not to place undue reliance on forward-looking statements, which speak only as of the date of this Report. Except as required by applicable law, we undertake no obligation to update or revise any forward-looking statements, whether as a result of new information, future events, changed circumstances, or otherwise.</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w:t>
      </w:r>
    </w:p>
    <w:p>
      <w:pPr>
        <w:pStyle w:val="TextBody"/>
        <w:shd w:fill="FFFFFF" w:val="clear"/>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 Ended June 30, 2026</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6" w:name="toc_001"/>
      <w:bookmarkEnd w:id="26"/>
      <w:r>
        <w:rPr>
          <w:rFonts w:ascii="Times New Roman;Times;Serif" w:hAnsi="Times New Roman;Times;Serif"/>
          <w:b/>
          <w:i w:val="false"/>
          <w:caps w:val="false"/>
          <w:smallCaps w:val="false"/>
          <w:sz w:val="20"/>
        </w:rPr>
        <w:t>TABLE OF CONTENTS</w:t>
      </w:r>
    </w:p>
    <w:p>
      <w:pPr>
        <w:pStyle w:val="TextBody"/>
        <w:bidi w:val="0"/>
        <w:jc w:val="left"/>
        <w:rPr>
          <w:caps w:val="false"/>
          <w:smallCaps w:val="false"/>
        </w:rPr>
      </w:pPr>
      <w:r>
        <w:rPr>
          <w:caps w:val="false"/>
          <w:smallCaps w:val="false"/>
        </w:rPr>
        <w:t> </w:t>
      </w:r>
    </w:p>
    <w:tbl>
      <w:tblPr>
        <w:tblW w:w="8550" w:type="dxa"/>
        <w:jc w:val="left"/>
        <w:tblInd w:w="0" w:type="dxa"/>
        <w:tblLayout w:type="fixed"/>
        <w:tblCellMar>
          <w:top w:w="0" w:type="dxa"/>
          <w:left w:w="0" w:type="dxa"/>
          <w:bottom w:w="28" w:type="dxa"/>
          <w:right w:w="0" w:type="dxa"/>
        </w:tblCellMar>
      </w:tblPr>
      <w:tblGrid>
        <w:gridCol w:w="680"/>
        <w:gridCol w:w="60"/>
        <w:gridCol w:w="7325"/>
        <w:gridCol w:w="60"/>
        <w:gridCol w:w="425"/>
      </w:tblGrid>
      <w:tr>
        <w:trPr/>
        <w:tc>
          <w:tcPr>
            <w:tcW w:w="68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25"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tc>
      </w:tr>
      <w:tr>
        <w:trPr/>
        <w:tc>
          <w:tcPr>
            <w:tcW w:w="8065" w:type="dxa"/>
            <w:gridSpan w:val="3"/>
            <w:tcBorders/>
            <w:shd w:fill="CCEEFF" w:val="clear"/>
            <w:tcMar>
              <w:bottom w:w="0" w:type="dxa"/>
            </w:tcMar>
            <w:vAlign w:val="center"/>
          </w:tcPr>
          <w:p>
            <w:pPr>
              <w:pStyle w:val="TableContents"/>
              <w:bidi w:val="0"/>
              <w:spacing w:before="0" w:after="283"/>
              <w:jc w:val="center"/>
              <w:rPr/>
            </w:pPr>
            <w:hyperlink w:anchor="Aa_001">
              <w:r>
                <w:rPr>
                  <w:rStyle w:val="InternetLink"/>
                  <w:rFonts w:ascii="Times New Roman;Times;Serif" w:hAnsi="Times New Roman;Times;Serif"/>
                  <w:b w:val="false"/>
                  <w:i w:val="false"/>
                  <w:caps w:val="false"/>
                  <w:smallCaps w:val="false"/>
                  <w:sz w:val="20"/>
                </w:rPr>
                <w:t>PART I-FINANCIAL INFORMATION</w:t>
              </w:r>
            </w:hyperlink>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6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25" w:type="dxa"/>
            <w:tcBorders/>
            <w:shd w:fill="FFFFFF" w:val="clear"/>
            <w:tcMar>
              <w:bottom w:w="0" w:type="dxa"/>
            </w:tcMar>
            <w:vAlign w:val="center"/>
          </w:tcPr>
          <w:p>
            <w:pPr>
              <w:pStyle w:val="TableContents"/>
              <w:bidi w:val="0"/>
              <w:spacing w:before="0" w:after="283"/>
              <w:jc w:val="left"/>
              <w:rPr/>
            </w:pPr>
            <w:hyperlink w:anchor="Aa_002">
              <w:r>
                <w:rPr>
                  <w:rStyle w:val="InternetLink"/>
                  <w:rFonts w:ascii="Times New Roman;Times;Serif" w:hAnsi="Times New Roman;Times;Serif"/>
                  <w:b w:val="false"/>
                  <w:i w:val="false"/>
                  <w:caps w:val="false"/>
                  <w:smallCaps w:val="false"/>
                  <w:sz w:val="20"/>
                </w:rPr>
                <w:t>Financial Statements</w:t>
              </w:r>
            </w:hyperlink>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6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25" w:type="dxa"/>
            <w:tcBorders/>
            <w:shd w:fill="CCEEFF" w:val="clear"/>
            <w:tcMar>
              <w:bottom w:w="0" w:type="dxa"/>
            </w:tcMar>
            <w:vAlign w:val="center"/>
          </w:tcPr>
          <w:p>
            <w:pPr>
              <w:pStyle w:val="TableContents"/>
              <w:bidi w:val="0"/>
              <w:spacing w:before="0" w:after="283"/>
              <w:jc w:val="left"/>
              <w:rPr/>
            </w:pPr>
            <w:hyperlink w:anchor="Aa_003">
              <w:r>
                <w:rPr>
                  <w:rStyle w:val="InternetLink"/>
                  <w:rFonts w:ascii="Times New Roman;Times;Serif" w:hAnsi="Times New Roman;Times;Serif"/>
                  <w:b w:val="false"/>
                  <w:i w:val="false"/>
                  <w:caps w:val="false"/>
                  <w:smallCaps w:val="false"/>
                  <w:sz w:val="20"/>
                </w:rPr>
                <w:t>Balance Sheets</w:t>
              </w:r>
            </w:hyperlink>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6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25" w:type="dxa"/>
            <w:tcBorders/>
            <w:shd w:fill="FFFFFF" w:val="clear"/>
            <w:tcMar>
              <w:bottom w:w="0" w:type="dxa"/>
            </w:tcMar>
            <w:vAlign w:val="center"/>
          </w:tcPr>
          <w:p>
            <w:pPr>
              <w:pStyle w:val="TableContents"/>
              <w:bidi w:val="0"/>
              <w:spacing w:before="0" w:after="283"/>
              <w:jc w:val="left"/>
              <w:rPr/>
            </w:pPr>
            <w:hyperlink w:anchor="Aa_004">
              <w:r>
                <w:rPr>
                  <w:rStyle w:val="InternetLink"/>
                  <w:rFonts w:ascii="Times New Roman;Times;Serif" w:hAnsi="Times New Roman;Times;Serif"/>
                  <w:b w:val="false"/>
                  <w:i w:val="false"/>
                  <w:caps w:val="false"/>
                  <w:smallCaps w:val="false"/>
                  <w:sz w:val="20"/>
                </w:rPr>
                <w:t>Statement of Operations</w:t>
              </w:r>
            </w:hyperlink>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6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25" w:type="dxa"/>
            <w:tcBorders/>
            <w:shd w:fill="CCEEFF" w:val="clear"/>
            <w:tcMar>
              <w:bottom w:w="0" w:type="dxa"/>
            </w:tcMar>
            <w:vAlign w:val="center"/>
          </w:tcPr>
          <w:p>
            <w:pPr>
              <w:pStyle w:val="TableContents"/>
              <w:bidi w:val="0"/>
              <w:spacing w:before="0" w:after="283"/>
              <w:jc w:val="left"/>
              <w:rPr/>
            </w:pPr>
            <w:hyperlink w:anchor="Aa_005">
              <w:r>
                <w:rPr>
                  <w:rStyle w:val="InternetLink"/>
                  <w:rFonts w:ascii="Times New Roman;Times;Serif" w:hAnsi="Times New Roman;Times;Serif"/>
                  <w:b w:val="false"/>
                  <w:i w:val="false"/>
                  <w:caps w:val="false"/>
                  <w:smallCaps w:val="false"/>
                  <w:sz w:val="20"/>
                </w:rPr>
                <w:t>Statement of Stockholders’ Equity</w:t>
              </w:r>
            </w:hyperlink>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6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25" w:type="dxa"/>
            <w:tcBorders/>
            <w:shd w:fill="FFFFFF" w:val="clear"/>
            <w:tcMar>
              <w:bottom w:w="0" w:type="dxa"/>
            </w:tcMar>
            <w:vAlign w:val="center"/>
          </w:tcPr>
          <w:p>
            <w:pPr>
              <w:pStyle w:val="TableContents"/>
              <w:bidi w:val="0"/>
              <w:spacing w:before="0" w:after="283"/>
              <w:jc w:val="left"/>
              <w:rPr/>
            </w:pPr>
            <w:hyperlink w:anchor="Aa_006">
              <w:r>
                <w:rPr>
                  <w:rStyle w:val="InternetLink"/>
                  <w:rFonts w:ascii="Times New Roman;Times;Serif" w:hAnsi="Times New Roman;Times;Serif"/>
                  <w:b w:val="false"/>
                  <w:i w:val="false"/>
                  <w:caps w:val="false"/>
                  <w:smallCaps w:val="false"/>
                  <w:sz w:val="20"/>
                </w:rPr>
                <w:t>Statement of Cash Flows</w:t>
              </w:r>
            </w:hyperlink>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6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25" w:type="dxa"/>
            <w:tcBorders/>
            <w:shd w:fill="CCEEFF" w:val="clear"/>
            <w:tcMar>
              <w:bottom w:w="0" w:type="dxa"/>
            </w:tcMar>
            <w:vAlign w:val="center"/>
          </w:tcPr>
          <w:p>
            <w:pPr>
              <w:pStyle w:val="TableContents"/>
              <w:bidi w:val="0"/>
              <w:spacing w:before="0" w:after="283"/>
              <w:jc w:val="left"/>
              <w:rPr/>
            </w:pPr>
            <w:hyperlink w:anchor="Aa_007">
              <w:r>
                <w:rPr>
                  <w:rStyle w:val="InternetLink"/>
                  <w:rFonts w:ascii="Times New Roman;Times;Serif" w:hAnsi="Times New Roman;Times;Serif"/>
                  <w:b w:val="false"/>
                  <w:i w:val="false"/>
                  <w:caps w:val="false"/>
                  <w:smallCaps w:val="false"/>
                  <w:sz w:val="20"/>
                </w:rPr>
                <w:t>Notes to Financial Statements</w:t>
              </w:r>
            </w:hyperlink>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6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25" w:type="dxa"/>
            <w:tcBorders/>
            <w:shd w:fill="FFFFFF" w:val="clear"/>
            <w:tcMar>
              <w:bottom w:w="0" w:type="dxa"/>
            </w:tcMar>
            <w:vAlign w:val="center"/>
          </w:tcPr>
          <w:p>
            <w:pPr>
              <w:pStyle w:val="TableContents"/>
              <w:bidi w:val="0"/>
              <w:spacing w:before="0" w:after="283"/>
              <w:jc w:val="left"/>
              <w:rPr/>
            </w:pPr>
            <w:hyperlink w:anchor="Aa_008">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6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25" w:type="dxa"/>
            <w:tcBorders/>
            <w:shd w:fill="CCEEFF" w:val="clear"/>
            <w:tcMar>
              <w:bottom w:w="0" w:type="dxa"/>
            </w:tcMar>
            <w:vAlign w:val="center"/>
          </w:tcPr>
          <w:p>
            <w:pPr>
              <w:pStyle w:val="TableContents"/>
              <w:bidi w:val="0"/>
              <w:spacing w:before="0" w:after="283"/>
              <w:jc w:val="left"/>
              <w:rPr/>
            </w:pPr>
            <w:hyperlink w:anchor="Aa_009">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6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25" w:type="dxa"/>
            <w:tcBorders/>
            <w:shd w:fill="FFFFFF" w:val="clear"/>
            <w:tcMar>
              <w:bottom w:w="0" w:type="dxa"/>
            </w:tcMar>
            <w:vAlign w:val="center"/>
          </w:tcPr>
          <w:p>
            <w:pPr>
              <w:pStyle w:val="TableContents"/>
              <w:bidi w:val="0"/>
              <w:spacing w:before="0" w:after="283"/>
              <w:jc w:val="left"/>
              <w:rPr/>
            </w:pPr>
            <w:hyperlink w:anchor="Aa_010">
              <w:r>
                <w:rPr>
                  <w:rStyle w:val="InternetLink"/>
                  <w:rFonts w:ascii="Times New Roman;Times;Serif" w:hAnsi="Times New Roman;Times;Serif"/>
                  <w:b w:val="false"/>
                  <w:i w:val="false"/>
                  <w:caps w:val="false"/>
                  <w:smallCaps w:val="false"/>
                  <w:sz w:val="20"/>
                </w:rPr>
                <w:t>Controls and Procedures</w:t>
              </w:r>
            </w:hyperlink>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8065" w:type="dxa"/>
            <w:gridSpan w:val="3"/>
            <w:tcBorders/>
            <w:shd w:fill="CCEEFF" w:val="clear"/>
            <w:tcMar>
              <w:bottom w:w="0" w:type="dxa"/>
            </w:tcMar>
            <w:vAlign w:val="center"/>
          </w:tcPr>
          <w:p>
            <w:pPr>
              <w:pStyle w:val="TableContents"/>
              <w:bidi w:val="0"/>
              <w:spacing w:before="0" w:after="283"/>
              <w:jc w:val="center"/>
              <w:rPr/>
            </w:pPr>
            <w:hyperlink w:anchor="Aa_011">
              <w:r>
                <w:rPr>
                  <w:rStyle w:val="InternetLink"/>
                  <w:rFonts w:ascii="Times New Roman;Times;Serif" w:hAnsi="Times New Roman;Times;Serif"/>
                  <w:b w:val="false"/>
                  <w:i w:val="false"/>
                  <w:caps w:val="false"/>
                  <w:smallCaps w:val="false"/>
                  <w:sz w:val="20"/>
                </w:rPr>
                <w:t>PART II-OTHER INFORMATION</w:t>
              </w:r>
            </w:hyperlink>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6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25" w:type="dxa"/>
            <w:tcBorders/>
            <w:shd w:fill="FFFFFF" w:val="clear"/>
            <w:tcMar>
              <w:bottom w:w="0" w:type="dxa"/>
            </w:tcMar>
            <w:vAlign w:val="center"/>
          </w:tcPr>
          <w:p>
            <w:pPr>
              <w:pStyle w:val="TableContents"/>
              <w:bidi w:val="0"/>
              <w:spacing w:before="0" w:after="283"/>
              <w:jc w:val="left"/>
              <w:rPr/>
            </w:pPr>
            <w:hyperlink w:anchor="Aa_012">
              <w:r>
                <w:rPr>
                  <w:rStyle w:val="InternetLink"/>
                  <w:rFonts w:ascii="Times New Roman;Times;Serif" w:hAnsi="Times New Roman;Times;Serif"/>
                  <w:b w:val="false"/>
                  <w:i w:val="false"/>
                  <w:caps w:val="false"/>
                  <w:smallCaps w:val="false"/>
                  <w:sz w:val="20"/>
                </w:rPr>
                <w:t>Legal Proceedings</w:t>
              </w:r>
            </w:hyperlink>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6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25" w:type="dxa"/>
            <w:tcBorders/>
            <w:shd w:fill="CCEEFF" w:val="clear"/>
            <w:tcMar>
              <w:bottom w:w="0" w:type="dxa"/>
            </w:tcMar>
            <w:vAlign w:val="center"/>
          </w:tcPr>
          <w:p>
            <w:pPr>
              <w:pStyle w:val="TableContents"/>
              <w:bidi w:val="0"/>
              <w:spacing w:before="0" w:after="283"/>
              <w:jc w:val="left"/>
              <w:rPr/>
            </w:pPr>
            <w:hyperlink w:anchor="Aa_013">
              <w:r>
                <w:rPr>
                  <w:rStyle w:val="InternetLink"/>
                  <w:rFonts w:ascii="Times New Roman;Times;Serif" w:hAnsi="Times New Roman;Times;Serif"/>
                  <w:b w:val="false"/>
                  <w:i w:val="false"/>
                  <w:caps w:val="false"/>
                  <w:smallCaps w:val="false"/>
                  <w:sz w:val="20"/>
                </w:rPr>
                <w:t>Risk Factors</w:t>
              </w:r>
            </w:hyperlink>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6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25" w:type="dxa"/>
            <w:tcBorders/>
            <w:shd w:fill="FFFFFF" w:val="clear"/>
            <w:tcMar>
              <w:bottom w:w="0" w:type="dxa"/>
            </w:tcMar>
            <w:vAlign w:val="center"/>
          </w:tcPr>
          <w:p>
            <w:pPr>
              <w:pStyle w:val="TableContents"/>
              <w:bidi w:val="0"/>
              <w:spacing w:before="0" w:after="283"/>
              <w:jc w:val="left"/>
              <w:rPr/>
            </w:pPr>
            <w:hyperlink w:anchor="Aa_014">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6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25" w:type="dxa"/>
            <w:tcBorders/>
            <w:shd w:fill="CCEEFF" w:val="clear"/>
            <w:tcMar>
              <w:bottom w:w="0" w:type="dxa"/>
            </w:tcMar>
            <w:vAlign w:val="center"/>
          </w:tcPr>
          <w:p>
            <w:pPr>
              <w:pStyle w:val="TableContents"/>
              <w:bidi w:val="0"/>
              <w:spacing w:before="0" w:after="283"/>
              <w:jc w:val="left"/>
              <w:rPr/>
            </w:pPr>
            <w:hyperlink w:anchor="Aa_015">
              <w:r>
                <w:rPr>
                  <w:rStyle w:val="InternetLink"/>
                  <w:rFonts w:ascii="Times New Roman;Times;Serif" w:hAnsi="Times New Roman;Times;Serif"/>
                  <w:b w:val="false"/>
                  <w:i w:val="false"/>
                  <w:caps w:val="false"/>
                  <w:smallCaps w:val="false"/>
                  <w:sz w:val="20"/>
                </w:rPr>
                <w:t>Defaults Upon Senior Securities.</w:t>
              </w:r>
            </w:hyperlink>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6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25" w:type="dxa"/>
            <w:tcBorders/>
            <w:shd w:fill="FFFFFF" w:val="clear"/>
            <w:tcMar>
              <w:bottom w:w="0" w:type="dxa"/>
            </w:tcMar>
            <w:vAlign w:val="center"/>
          </w:tcPr>
          <w:p>
            <w:pPr>
              <w:pStyle w:val="TableContents"/>
              <w:bidi w:val="0"/>
              <w:spacing w:before="0" w:after="283"/>
              <w:jc w:val="left"/>
              <w:rPr/>
            </w:pPr>
            <w:hyperlink w:anchor="Aa_016">
              <w:r>
                <w:rPr>
                  <w:rStyle w:val="InternetLink"/>
                  <w:rFonts w:ascii="Times New Roman;Times;Serif" w:hAnsi="Times New Roman;Times;Serif"/>
                  <w:b w:val="false"/>
                  <w:i w:val="false"/>
                  <w:caps w:val="false"/>
                  <w:smallCaps w:val="false"/>
                  <w:sz w:val="20"/>
                </w:rPr>
                <w:t>Mine Safety Disclosures.</w:t>
              </w:r>
            </w:hyperlink>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6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25" w:type="dxa"/>
            <w:tcBorders/>
            <w:shd w:fill="CCEEFF" w:val="clear"/>
            <w:tcMar>
              <w:bottom w:w="0" w:type="dxa"/>
            </w:tcMar>
            <w:vAlign w:val="center"/>
          </w:tcPr>
          <w:p>
            <w:pPr>
              <w:pStyle w:val="TableContents"/>
              <w:bidi w:val="0"/>
              <w:spacing w:before="0" w:after="283"/>
              <w:jc w:val="left"/>
              <w:rPr/>
            </w:pPr>
            <w:hyperlink w:anchor="Aa_017">
              <w:r>
                <w:rPr>
                  <w:rStyle w:val="InternetLink"/>
                  <w:rFonts w:ascii="Times New Roman;Times;Serif" w:hAnsi="Times New Roman;Times;Serif"/>
                  <w:b w:val="false"/>
                  <w:i w:val="false"/>
                  <w:caps w:val="false"/>
                  <w:smallCaps w:val="false"/>
                  <w:sz w:val="20"/>
                </w:rPr>
                <w:t>Other Information.</w:t>
              </w:r>
            </w:hyperlink>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6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25" w:type="dxa"/>
            <w:tcBorders/>
            <w:shd w:fill="FFFFFF" w:val="clear"/>
            <w:tcMar>
              <w:bottom w:w="0" w:type="dxa"/>
            </w:tcMar>
            <w:vAlign w:val="center"/>
          </w:tcPr>
          <w:p>
            <w:pPr>
              <w:pStyle w:val="TableContents"/>
              <w:bidi w:val="0"/>
              <w:spacing w:before="0" w:after="283"/>
              <w:jc w:val="left"/>
              <w:rPr/>
            </w:pPr>
            <w:hyperlink w:anchor="Aa_018">
              <w:r>
                <w:rPr>
                  <w:rStyle w:val="InternetLink"/>
                  <w:rFonts w:ascii="Times New Roman;Times;Serif" w:hAnsi="Times New Roman;Times;Serif"/>
                  <w:b w:val="false"/>
                  <w:i w:val="false"/>
                  <w:caps w:val="false"/>
                  <w:smallCaps w:val="false"/>
                  <w:sz w:val="20"/>
                </w:rPr>
                <w:t>Exhibits</w:t>
              </w:r>
            </w:hyperlink>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6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25" w:type="dxa"/>
            <w:tcBorders/>
            <w:shd w:fill="CCEEFF" w:val="clear"/>
            <w:tcMar>
              <w:bottom w:w="0" w:type="dxa"/>
            </w:tcMar>
            <w:vAlign w:val="center"/>
          </w:tcPr>
          <w:p>
            <w:pPr>
              <w:pStyle w:val="TableContents"/>
              <w:bidi w:val="0"/>
              <w:spacing w:before="0" w:after="283"/>
              <w:jc w:val="left"/>
              <w:rPr/>
            </w:pPr>
            <w:hyperlink w:anchor="Aa_019">
              <w:r>
                <w:rPr>
                  <w:rStyle w:val="InternetLink"/>
                  <w:rFonts w:ascii="Times New Roman;Times;Serif" w:hAnsi="Times New Roman;Times;Serif"/>
                  <w:b w:val="false"/>
                  <w:i w:val="false"/>
                  <w:caps w:val="false"/>
                  <w:smallCaps w:val="false"/>
                  <w:sz w:val="20"/>
                </w:rPr>
                <w:t>Signatures</w:t>
              </w:r>
            </w:hyperlink>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bl>
    <w:p>
      <w:pPr>
        <w:pStyle w:val="TextBody"/>
        <w:bidi w:val="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val="false"/>
          <w:caps w:val="false"/>
          <w:smallCaps w:val="false"/>
          <w:sz w:val="20"/>
        </w:rPr>
      </w:pPr>
      <w:bookmarkStart w:id="27" w:name="Aa_001"/>
      <w:bookmarkEnd w:id="27"/>
      <w:r>
        <w:rPr>
          <w:rFonts w:ascii="Times New Roman;Times;Serif" w:hAnsi="Times New Roman;Times;Serif"/>
          <w:b/>
          <w:i w:val="false"/>
          <w:caps w:val="false"/>
          <w:smallCaps w:val="false"/>
          <w:sz w:val="20"/>
        </w:rPr>
        <w:t>PART 1- FINANCIAL INFORMATION</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val="false"/>
          <w:caps w:val="false"/>
          <w:smallCaps w:val="false"/>
          <w:sz w:val="20"/>
        </w:rPr>
      </w:pPr>
      <w:bookmarkStart w:id="28" w:name="Aa_002"/>
      <w:bookmarkEnd w:id="28"/>
      <w:r>
        <w:rPr>
          <w:rFonts w:ascii="Times New Roman;Times;Serif" w:hAnsi="Times New Roman;Times;Serif"/>
          <w:b/>
          <w:i w:val="false"/>
          <w:caps w:val="false"/>
          <w:smallCaps w:val="false"/>
          <w:sz w:val="20"/>
        </w:rPr>
        <w:t>ITEM 1. FINANCIAL STATEMENTS</w:t>
      </w:r>
    </w:p>
    <w:p>
      <w:pPr>
        <w:pStyle w:val="TextBody"/>
        <w:shd w:fill="FFFFFF" w:val="clear"/>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9" w:name="Aa_003"/>
      <w:bookmarkEnd w:id="29"/>
      <w:r>
        <w:rPr>
          <w:rFonts w:ascii="Times New Roman;Times;Serif" w:hAnsi="Times New Roman;Times;Serif"/>
          <w:b/>
          <w:i w:val="false"/>
          <w:caps w:val="false"/>
          <w:smallCaps w:val="false"/>
          <w:sz w:val="20"/>
        </w:rPr>
        <w:t>Superstar Platforms,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Sheet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0" w:name="xdx_306_111_zsNR4PSJRuIk"/>
      <w:bookmarkStart w:id="31" w:name="xdx_306_111_zsNR4PSJRuIk"/>
      <w:bookmarkEnd w:id="31"/>
    </w:p>
    <w:tbl>
      <w:tblPr>
        <w:tblW w:w="10205" w:type="dxa"/>
        <w:jc w:val="left"/>
        <w:tblInd w:w="0" w:type="dxa"/>
        <w:tblLayout w:type="fixed"/>
        <w:tblCellMar>
          <w:top w:w="0" w:type="dxa"/>
          <w:left w:w="0" w:type="dxa"/>
          <w:bottom w:w="0" w:type="dxa"/>
          <w:right w:w="0" w:type="dxa"/>
        </w:tblCellMar>
      </w:tblPr>
      <w:tblGrid>
        <w:gridCol w:w="7140"/>
        <w:gridCol w:w="60"/>
        <w:gridCol w:w="148"/>
        <w:gridCol w:w="1124"/>
        <w:gridCol w:w="95"/>
        <w:gridCol w:w="60"/>
        <w:gridCol w:w="171"/>
        <w:gridCol w:w="1294"/>
        <w:gridCol w:w="113"/>
      </w:tblGrid>
      <w:tr>
        <w:trPr/>
        <w:tc>
          <w:tcPr>
            <w:tcW w:w="7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2" w:name="xdx_491_20260630_zWExM06OqLrk"/>
            <w:bookmarkEnd w:id="32"/>
          </w:p>
        </w:tc>
        <w:tc>
          <w:tcPr>
            <w:tcW w:w="127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3" w:name="xdx_49F_20251231_zqjvomU5ys4k"/>
            <w:bookmarkEnd w:id="33"/>
          </w:p>
        </w:tc>
        <w:tc>
          <w:tcPr>
            <w:tcW w:w="14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113" w:type="dxa"/>
            <w:tcBorders/>
            <w:vAlign w:val="center"/>
          </w:tcPr>
          <w:p>
            <w:pPr>
              <w:pStyle w:val="TableContents"/>
              <w:bidi w:val="0"/>
              <w:spacing w:before="0" w:after="283"/>
              <w:jc w:val="left"/>
              <w:rPr/>
            </w:pPr>
            <w:r>
              <w:rPr/>
              <w:t> </w:t>
            </w:r>
            <w:bookmarkStart w:id="34" w:name="xdx_405_eus-gaap--AssetsAbstract_iB_zDOH"/>
            <w:bookmarkEnd w:id="34"/>
          </w:p>
        </w:tc>
      </w:tr>
      <w:tr>
        <w:trPr/>
        <w:tc>
          <w:tcPr>
            <w:tcW w:w="7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Assets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35" w:name="xdx_40D_eus-gaap--AssetsCurrentAbstract_"/>
            <w:bookmarkEnd w:id="35"/>
          </w:p>
        </w:tc>
      </w:tr>
      <w:tr>
        <w:trPr/>
        <w:tc>
          <w:tcPr>
            <w:tcW w:w="7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Assets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36" w:name="xdx_402_eus-gaap--Cash_i02I_maCzXxI_zvCF"/>
            <w:bookmarkEnd w:id="36"/>
          </w:p>
        </w:tc>
      </w:tr>
      <w:tr>
        <w:trPr/>
        <w:tc>
          <w:tcPr>
            <w:tcW w:w="7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1,138</w:t>
            </w:r>
          </w:p>
        </w:tc>
        <w:tc>
          <w:tcPr>
            <w:tcW w:w="113" w:type="dxa"/>
            <w:tcBorders/>
            <w:shd w:fill="CCEEFF" w:val="clear"/>
            <w:vAlign w:val="center"/>
          </w:tcPr>
          <w:p>
            <w:pPr>
              <w:pStyle w:val="TableContents"/>
              <w:bidi w:val="0"/>
              <w:spacing w:before="0" w:after="283"/>
              <w:jc w:val="left"/>
              <w:rPr/>
            </w:pPr>
            <w:r>
              <w:rPr/>
              <w:t> </w:t>
            </w:r>
            <w:bookmarkStart w:id="37" w:name="xdx_40D_eus-gaap--NotesAndLoansReceivabl"/>
            <w:bookmarkEnd w:id="37"/>
          </w:p>
        </w:tc>
      </w:tr>
      <w:tr>
        <w:trPr/>
        <w:tc>
          <w:tcPr>
            <w:tcW w:w="7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Loan Receivable (L/R)</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2,734,080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2,587,233</w:t>
            </w:r>
          </w:p>
        </w:tc>
        <w:tc>
          <w:tcPr>
            <w:tcW w:w="113" w:type="dxa"/>
            <w:tcBorders/>
            <w:shd w:fill="FFFFFF" w:val="clear"/>
            <w:vAlign w:val="center"/>
          </w:tcPr>
          <w:p>
            <w:pPr>
              <w:pStyle w:val="TableContents"/>
              <w:bidi w:val="0"/>
              <w:spacing w:before="0" w:after="283"/>
              <w:jc w:val="left"/>
              <w:rPr/>
            </w:pPr>
            <w:r>
              <w:rPr/>
              <w:t> </w:t>
            </w:r>
            <w:bookmarkStart w:id="38" w:name="xdx_40F_eus-gaap--InterestReceivableCurr"/>
            <w:bookmarkEnd w:id="38"/>
          </w:p>
        </w:tc>
      </w:tr>
      <w:tr>
        <w:trPr/>
        <w:tc>
          <w:tcPr>
            <w:tcW w:w="7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Receivable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622,057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307,068</w:t>
            </w:r>
          </w:p>
        </w:tc>
        <w:tc>
          <w:tcPr>
            <w:tcW w:w="113" w:type="dxa"/>
            <w:tcBorders/>
            <w:shd w:fill="CCEEFF" w:val="clear"/>
            <w:vAlign w:val="center"/>
          </w:tcPr>
          <w:p>
            <w:pPr>
              <w:pStyle w:val="TableContents"/>
              <w:bidi w:val="0"/>
              <w:spacing w:before="0" w:after="283"/>
              <w:jc w:val="left"/>
              <w:rPr/>
            </w:pPr>
            <w:r>
              <w:rPr/>
              <w:t> </w:t>
            </w:r>
            <w:bookmarkStart w:id="39" w:name="xdx_408_eus-gaap--AllowanceForDoubtfulAc"/>
            <w:bookmarkEnd w:id="39"/>
          </w:p>
        </w:tc>
      </w:tr>
      <w:tr>
        <w:trPr/>
        <w:tc>
          <w:tcPr>
            <w:tcW w:w="7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Allowance for Bad Debts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(117,331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(77,617</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0" w:name="xdx_406_eus-gaap--Assets_i01TI_mtCzXxI_z"/>
            <w:bookmarkEnd w:id="40"/>
          </w:p>
        </w:tc>
      </w:tr>
      <w:tr>
        <w:trPr/>
        <w:tc>
          <w:tcPr>
            <w:tcW w:w="7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Assets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24"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3,238,815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94"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2,817,823</w:t>
            </w:r>
          </w:p>
        </w:tc>
        <w:tc>
          <w:tcPr>
            <w:tcW w:w="113" w:type="dxa"/>
            <w:tcBorders/>
            <w:shd w:fill="CCEEFF" w:val="clear"/>
            <w:vAlign w:val="center"/>
          </w:tcPr>
          <w:p>
            <w:pPr>
              <w:pStyle w:val="TableContents"/>
              <w:bidi w:val="0"/>
              <w:spacing w:before="0" w:after="283"/>
              <w:jc w:val="left"/>
              <w:rPr/>
            </w:pPr>
            <w:r>
              <w:rPr/>
              <w:t> </w:t>
            </w:r>
            <w:bookmarkStart w:id="41" w:name="xdx_40C_eus-gaap--LiabilitiesAndStockhol"/>
            <w:bookmarkEnd w:id="41"/>
          </w:p>
        </w:tc>
      </w:tr>
      <w:tr>
        <w:trPr/>
        <w:tc>
          <w:tcPr>
            <w:tcW w:w="7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Liabilities and Stockholders Deficit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42" w:name="xdx_40C_eus-gaap--LiabilitiesCurrentAbst"/>
            <w:bookmarkEnd w:id="42"/>
          </w:p>
        </w:tc>
      </w:tr>
      <w:tr>
        <w:trPr/>
        <w:tc>
          <w:tcPr>
            <w:tcW w:w="7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Liabilities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43" w:name="xdx_407_eus-gaap--AccountsPayableCurrent"/>
            <w:bookmarkEnd w:id="43"/>
          </w:p>
        </w:tc>
      </w:tr>
      <w:tr>
        <w:trPr/>
        <w:tc>
          <w:tcPr>
            <w:tcW w:w="7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44" w:name="xdx_40D_eus-gaap--AccountsPayableAndAccr"/>
            <w:bookmarkEnd w:id="44"/>
          </w:p>
        </w:tc>
      </w:tr>
      <w:tr>
        <w:trPr/>
        <w:tc>
          <w:tcPr>
            <w:tcW w:w="7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 and Accrued Liabilities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1,002,001</w:t>
            </w:r>
          </w:p>
        </w:tc>
        <w:tc>
          <w:tcPr>
            <w:tcW w:w="113" w:type="dxa"/>
            <w:tcBorders/>
            <w:shd w:fill="CCEEFF" w:val="clear"/>
            <w:vAlign w:val="center"/>
          </w:tcPr>
          <w:p>
            <w:pPr>
              <w:pStyle w:val="TableContents"/>
              <w:bidi w:val="0"/>
              <w:spacing w:before="0" w:after="283"/>
              <w:jc w:val="left"/>
              <w:rPr/>
            </w:pPr>
            <w:r>
              <w:rPr/>
              <w:t> </w:t>
            </w:r>
            <w:bookmarkStart w:id="45" w:name="xdx_401_eus-gaap--NotesPayableCurrent_i0"/>
            <w:bookmarkEnd w:id="45"/>
          </w:p>
        </w:tc>
      </w:tr>
      <w:tr>
        <w:trPr/>
        <w:tc>
          <w:tcPr>
            <w:tcW w:w="7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Notes Payable (N/P)</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2,818,670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2,674,670</w:t>
            </w:r>
          </w:p>
        </w:tc>
        <w:tc>
          <w:tcPr>
            <w:tcW w:w="113" w:type="dxa"/>
            <w:tcBorders/>
            <w:shd w:fill="FFFFFF" w:val="clear"/>
            <w:vAlign w:val="center"/>
          </w:tcPr>
          <w:p>
            <w:pPr>
              <w:pStyle w:val="TableContents"/>
              <w:bidi w:val="0"/>
              <w:spacing w:before="0" w:after="283"/>
              <w:jc w:val="left"/>
              <w:rPr/>
            </w:pPr>
            <w:r>
              <w:rPr/>
              <w:t> </w:t>
            </w:r>
            <w:bookmarkStart w:id="46" w:name="xdx_408_ecustom--InterestPayableAndOther"/>
            <w:bookmarkEnd w:id="46"/>
          </w:p>
        </w:tc>
      </w:tr>
      <w:tr>
        <w:trPr/>
        <w:tc>
          <w:tcPr>
            <w:tcW w:w="7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Payable &amp; Other Payables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280,351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129,654</w:t>
            </w:r>
          </w:p>
        </w:tc>
        <w:tc>
          <w:tcPr>
            <w:tcW w:w="113" w:type="dxa"/>
            <w:tcBorders/>
            <w:shd w:fill="CCEEFF" w:val="clear"/>
            <w:vAlign w:val="center"/>
          </w:tcPr>
          <w:p>
            <w:pPr>
              <w:pStyle w:val="TableContents"/>
              <w:bidi w:val="0"/>
              <w:spacing w:before="0" w:after="283"/>
              <w:jc w:val="left"/>
              <w:rPr/>
            </w:pPr>
            <w:r>
              <w:rPr/>
              <w:t> </w:t>
            </w:r>
            <w:bookmarkStart w:id="47" w:name="xdx_40C_eus-gaap--OtherLiabilitiesCurren"/>
            <w:bookmarkEnd w:id="47"/>
          </w:p>
        </w:tc>
      </w:tr>
      <w:tr>
        <w:trPr/>
        <w:tc>
          <w:tcPr>
            <w:tcW w:w="7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Due to Related Party</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307,674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307,674</w:t>
            </w:r>
          </w:p>
        </w:tc>
        <w:tc>
          <w:tcPr>
            <w:tcW w:w="113" w:type="dxa"/>
            <w:tcBorders/>
            <w:shd w:fill="FFFFFF" w:val="clear"/>
            <w:vAlign w:val="center"/>
          </w:tcPr>
          <w:p>
            <w:pPr>
              <w:pStyle w:val="TableContents"/>
              <w:bidi w:val="0"/>
              <w:spacing w:before="0" w:after="283"/>
              <w:jc w:val="left"/>
              <w:rPr/>
            </w:pPr>
            <w:r>
              <w:rPr/>
              <w:t> </w:t>
            </w:r>
            <w:bookmarkStart w:id="48" w:name="xdx_40C_eus-gaap--LiabilitiesCurrent_i01"/>
            <w:bookmarkEnd w:id="48"/>
          </w:p>
        </w:tc>
      </w:tr>
      <w:tr>
        <w:trPr/>
        <w:tc>
          <w:tcPr>
            <w:tcW w:w="7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for Current Liabilities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24"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4,579,695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94"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4,113,999</w:t>
            </w:r>
          </w:p>
        </w:tc>
        <w:tc>
          <w:tcPr>
            <w:tcW w:w="113" w:type="dxa"/>
            <w:tcBorders/>
            <w:shd w:fill="CCEEFF" w:val="clear"/>
            <w:vAlign w:val="center"/>
          </w:tcPr>
          <w:p>
            <w:pPr>
              <w:pStyle w:val="TableContents"/>
              <w:bidi w:val="0"/>
              <w:spacing w:before="0" w:after="283"/>
              <w:jc w:val="left"/>
              <w:rPr/>
            </w:pPr>
            <w:r>
              <w:rPr/>
              <w:t> </w:t>
            </w:r>
            <w:bookmarkStart w:id="49" w:name="xdx_40B_eus-gaap--StockholdersEquityAbst"/>
            <w:bookmarkEnd w:id="49"/>
          </w:p>
        </w:tc>
      </w:tr>
      <w:tr>
        <w:trPr/>
        <w:tc>
          <w:tcPr>
            <w:tcW w:w="7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Stockholder’ Deficit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50" w:name="xdx_405_eus-gaap--CommonStockValue_i01I_"/>
            <w:bookmarkEnd w:id="50"/>
          </w:p>
        </w:tc>
      </w:tr>
      <w:tr>
        <w:trPr/>
        <w:tc>
          <w:tcPr>
            <w:tcW w:w="7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w:t>
            </w:r>
            <w:bookmarkStart w:id="51" w:name="xdx_903_eus-gaap--CommonStockParOrStated"/>
            <w:bookmarkStart w:id="52" w:name="xdx_908_eus-gaap--CommonStockParOrStated"/>
            <w:bookmarkEnd w:id="51"/>
            <w:bookmarkEnd w:id="52"/>
            <w:r>
              <w:rPr>
                <w:rFonts w:ascii="Times New Roman;Times;Serif" w:hAnsi="Times New Roman;Times;Serif"/>
              </w:rPr>
              <w:t xml:space="preserve">.01 par value, </w:t>
            </w:r>
            <w:bookmarkStart w:id="53" w:name="xdx_90D_eus-gaap--CommonStockSharesAutho"/>
            <w:bookmarkStart w:id="54" w:name="xdx_904_eus-gaap--CommonStockSharesAutho"/>
            <w:bookmarkEnd w:id="53"/>
            <w:bookmarkEnd w:id="54"/>
            <w:r>
              <w:rPr>
                <w:rFonts w:ascii="Times New Roman;Times;Serif" w:hAnsi="Times New Roman;Times;Serif"/>
              </w:rPr>
              <w:t>1,000,000,000 shares authorized,</w:t>
            </w:r>
            <w:bookmarkStart w:id="55" w:name="xdx_908_eus-gaap--CommonStockSharesOutst"/>
            <w:bookmarkStart w:id="56" w:name="xdx_901_eus-gaap--CommonStockSharesIssue"/>
            <w:bookmarkEnd w:id="55"/>
            <w:bookmarkEnd w:id="56"/>
            <w:r>
              <w:rPr>
                <w:rFonts w:ascii="Times New Roman;Times;Serif" w:hAnsi="Times New Roman;Times;Serif"/>
              </w:rPr>
              <w:t xml:space="preserve">182,289,904 and </w:t>
            </w:r>
            <w:bookmarkStart w:id="57" w:name="xdx_90C_eus-gaap--CommonStockSharesOutst"/>
            <w:bookmarkStart w:id="58" w:name="xdx_903_eus-gaap--CommonStockSharesIssue"/>
            <w:bookmarkEnd w:id="57"/>
            <w:bookmarkEnd w:id="58"/>
            <w:r>
              <w:rPr>
                <w:rFonts w:ascii="Times New Roman;Times;Serif" w:hAnsi="Times New Roman;Times;Serif"/>
              </w:rPr>
              <w:t>182,289,904 shares issued and outstanding as of June 30,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182,290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182,290</w:t>
            </w:r>
          </w:p>
        </w:tc>
        <w:tc>
          <w:tcPr>
            <w:tcW w:w="113" w:type="dxa"/>
            <w:tcBorders/>
            <w:shd w:fill="CCEEFF" w:val="clear"/>
            <w:vAlign w:val="center"/>
          </w:tcPr>
          <w:p>
            <w:pPr>
              <w:pStyle w:val="TableContents"/>
              <w:bidi w:val="0"/>
              <w:spacing w:before="0" w:after="283"/>
              <w:jc w:val="left"/>
              <w:rPr/>
            </w:pPr>
            <w:r>
              <w:rPr/>
              <w:t> </w:t>
            </w:r>
            <w:bookmarkStart w:id="59" w:name="xdx_40E_eus-gaap--AdditionalPaidInCapita"/>
            <w:bookmarkEnd w:id="59"/>
          </w:p>
        </w:tc>
      </w:tr>
      <w:tr>
        <w:trPr/>
        <w:tc>
          <w:tcPr>
            <w:tcW w:w="7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Additional paid in capital</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388,656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356,568</w:t>
            </w:r>
          </w:p>
        </w:tc>
        <w:tc>
          <w:tcPr>
            <w:tcW w:w="113" w:type="dxa"/>
            <w:tcBorders/>
            <w:shd w:fill="FFFFFF" w:val="clear"/>
            <w:vAlign w:val="center"/>
          </w:tcPr>
          <w:p>
            <w:pPr>
              <w:pStyle w:val="TableContents"/>
              <w:bidi w:val="0"/>
              <w:spacing w:before="0" w:after="283"/>
              <w:jc w:val="left"/>
              <w:rPr/>
            </w:pPr>
            <w:r>
              <w:rPr/>
              <w:t> </w:t>
            </w:r>
            <w:bookmarkStart w:id="60" w:name="xdx_40A_eus-gaap--RetainedEarningsAccumu"/>
            <w:bookmarkEnd w:id="60"/>
          </w:p>
        </w:tc>
      </w:tr>
      <w:tr>
        <w:trPr/>
        <w:tc>
          <w:tcPr>
            <w:tcW w:w="7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Deficit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(1,911,826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(1,835,034</w:t>
            </w:r>
          </w:p>
        </w:tc>
        <w:tc>
          <w:tcPr>
            <w:tcW w:w="1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1" w:name="xdx_40D_eus-gaap--StockholdersEquity_i01"/>
            <w:bookmarkEnd w:id="61"/>
          </w:p>
        </w:tc>
      </w:tr>
      <w:tr>
        <w:trPr/>
        <w:tc>
          <w:tcPr>
            <w:tcW w:w="71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Stockholders’ Deficit</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(1,340,880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(1,296,176</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2" w:name="xdx_40A_eus-gaap--LiabilitiesAndStockhol"/>
            <w:bookmarkEnd w:id="62"/>
          </w:p>
        </w:tc>
      </w:tr>
      <w:tr>
        <w:trPr/>
        <w:tc>
          <w:tcPr>
            <w:tcW w:w="7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Totl for Liabilities and Stockholders’ Deficit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24"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3,238,815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94"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2,817,823</w:t>
            </w:r>
          </w:p>
        </w:tc>
        <w:tc>
          <w:tcPr>
            <w:tcW w:w="113" w:type="dxa"/>
            <w:tcBorders/>
            <w:shd w:fill="CCEEFF" w:val="clear"/>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63" w:name="Aa_004"/>
      <w:bookmarkEnd w:id="63"/>
      <w:r>
        <w:rPr>
          <w:rFonts w:ascii="Times New Roman;Times;Serif" w:hAnsi="Times New Roman;Times;Serif"/>
          <w:b/>
          <w:i w:val="false"/>
          <w:caps w:val="false"/>
          <w:smallCaps w:val="false"/>
          <w:sz w:val="20"/>
        </w:rPr>
        <w:t>Superstar Platforms,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of Operations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283"/>
        <w:jc w:val="left"/>
        <w:rPr/>
      </w:pPr>
      <w:r>
        <w:rPr/>
        <w:t> </w:t>
      </w:r>
    </w:p>
    <w:p>
      <w:pPr>
        <w:pStyle w:val="Normal"/>
        <w:bidi w:val="0"/>
        <w:spacing w:before="0" w:after="0"/>
        <w:jc w:val="left"/>
        <w:rPr>
          <w:sz w:val="4"/>
          <w:szCs w:val="4"/>
        </w:rPr>
      </w:pPr>
      <w:r>
        <w:rPr>
          <w:sz w:val="4"/>
          <w:szCs w:val="4"/>
        </w:rPr>
      </w:r>
      <w:bookmarkStart w:id="64" w:name="xdx_309_113_zMjzQONM2pS"/>
      <w:bookmarkStart w:id="65" w:name="xdx_309_113_zMjzQONM2pS"/>
      <w:bookmarkEnd w:id="65"/>
    </w:p>
    <w:tbl>
      <w:tblPr>
        <w:tblW w:w="10205" w:type="dxa"/>
        <w:jc w:val="left"/>
        <w:tblInd w:w="0" w:type="dxa"/>
        <w:tblLayout w:type="fixed"/>
        <w:tblCellMar>
          <w:top w:w="0" w:type="dxa"/>
          <w:left w:w="0" w:type="dxa"/>
          <w:bottom w:w="0" w:type="dxa"/>
          <w:right w:w="0" w:type="dxa"/>
        </w:tblCellMar>
      </w:tblPr>
      <w:tblGrid>
        <w:gridCol w:w="4450"/>
        <w:gridCol w:w="60"/>
        <w:gridCol w:w="60"/>
        <w:gridCol w:w="1220"/>
        <w:gridCol w:w="95"/>
        <w:gridCol w:w="60"/>
        <w:gridCol w:w="60"/>
        <w:gridCol w:w="1220"/>
        <w:gridCol w:w="95"/>
        <w:gridCol w:w="60"/>
        <w:gridCol w:w="60"/>
        <w:gridCol w:w="1220"/>
        <w:gridCol w:w="95"/>
        <w:gridCol w:w="60"/>
        <w:gridCol w:w="60"/>
        <w:gridCol w:w="1220"/>
        <w:gridCol w:w="110"/>
      </w:tblGrid>
      <w:tr>
        <w:trPr/>
        <w:tc>
          <w:tcPr>
            <w:tcW w:w="4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6" w:name="xdx_491_20260401__20260630_zx5qmr8pU5Xc"/>
            <w:bookmarkEnd w:id="66"/>
          </w:p>
        </w:tc>
        <w:tc>
          <w:tcPr>
            <w:tcW w:w="12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7" w:name="xdx_492_20250401__20250630_z5vH6iunFC0k"/>
            <w:bookmarkEnd w:id="67"/>
          </w:p>
        </w:tc>
        <w:tc>
          <w:tcPr>
            <w:tcW w:w="12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8" w:name="xdx_49A_20260101__20260630_zwn03qRYkgEj"/>
            <w:bookmarkEnd w:id="68"/>
          </w:p>
        </w:tc>
        <w:tc>
          <w:tcPr>
            <w:tcW w:w="12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9" w:name="xdx_491_20250101__20250630_zWa6CfZD28bi"/>
            <w:bookmarkEnd w:id="69"/>
          </w:p>
        </w:tc>
        <w:tc>
          <w:tcPr>
            <w:tcW w:w="12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4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5"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Three Months Ended</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5"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Six Months Ended</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 30,</w:t>
            </w:r>
          </w:p>
        </w:tc>
        <w:tc>
          <w:tcPr>
            <w:tcW w:w="110" w:type="dxa"/>
            <w:tcBorders/>
            <w:vAlign w:val="center"/>
          </w:tcPr>
          <w:p>
            <w:pPr>
              <w:pStyle w:val="TableContents"/>
              <w:bidi w:val="0"/>
              <w:spacing w:before="0" w:after="283"/>
              <w:jc w:val="left"/>
              <w:rPr/>
            </w:pPr>
            <w:r>
              <w:rPr/>
              <w:t> </w:t>
            </w:r>
          </w:p>
        </w:tc>
      </w:tr>
      <w:tr>
        <w:trPr/>
        <w:tc>
          <w:tcPr>
            <w:tcW w:w="4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bookmarkStart w:id="70" w:name="xdx_403_eus-gaap--Revenues_maGPzy0e_ztra"/>
            <w:bookmarkEnd w:id="70"/>
          </w:p>
        </w:tc>
      </w:tr>
      <w:tr>
        <w:trPr/>
        <w:tc>
          <w:tcPr>
            <w:tcW w:w="4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110" w:type="dxa"/>
            <w:tcBorders/>
            <w:shd w:fill="CCEEFF" w:val="clear"/>
            <w:vAlign w:val="center"/>
          </w:tcPr>
          <w:p>
            <w:pPr>
              <w:pStyle w:val="TableContents"/>
              <w:bidi w:val="0"/>
              <w:spacing w:before="0" w:after="283"/>
              <w:jc w:val="left"/>
              <w:rPr/>
            </w:pPr>
            <w:r>
              <w:rPr/>
              <w:t> </w:t>
            </w:r>
            <w:bookmarkStart w:id="71" w:name="xdx_40E_eus-gaap--CostOfRevenue_msGPzy0e"/>
            <w:bookmarkEnd w:id="71"/>
          </w:p>
        </w:tc>
      </w:tr>
      <w:tr>
        <w:trPr/>
        <w:tc>
          <w:tcPr>
            <w:tcW w:w="4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110" w:type="dxa"/>
            <w:tcBorders/>
            <w:shd w:fill="FFFFFF" w:val="clear"/>
            <w:vAlign w:val="center"/>
          </w:tcPr>
          <w:p>
            <w:pPr>
              <w:pStyle w:val="TableContents"/>
              <w:bidi w:val="0"/>
              <w:spacing w:before="0" w:after="283"/>
              <w:jc w:val="left"/>
              <w:rPr/>
            </w:pPr>
            <w:r>
              <w:rPr/>
              <w:t> </w:t>
            </w:r>
            <w:bookmarkStart w:id="72" w:name="xdx_40E_eus-gaap--GrossProfit_iT_mtGPzy0"/>
            <w:bookmarkEnd w:id="72"/>
          </w:p>
        </w:tc>
      </w:tr>
      <w:tr>
        <w:trPr/>
        <w:tc>
          <w:tcPr>
            <w:tcW w:w="44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Gross Profit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110" w:type="dxa"/>
            <w:tcBorders/>
            <w:shd w:fill="CCEEFF" w:val="clear"/>
            <w:vAlign w:val="center"/>
          </w:tcPr>
          <w:p>
            <w:pPr>
              <w:pStyle w:val="TableContents"/>
              <w:bidi w:val="0"/>
              <w:spacing w:before="0" w:after="283"/>
              <w:jc w:val="left"/>
              <w:rPr/>
            </w:pPr>
            <w:r>
              <w:rPr/>
              <w:t> </w:t>
            </w:r>
            <w:bookmarkStart w:id="73" w:name="xdx_40B_eus-gaap--OperatingExpensesAbstr"/>
            <w:bookmarkEnd w:id="73"/>
          </w:p>
        </w:tc>
      </w:tr>
      <w:tr>
        <w:trPr/>
        <w:tc>
          <w:tcPr>
            <w:tcW w:w="445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74" w:name="xdx_404_eus-gaap--GeneralAndAdministrati"/>
            <w:bookmarkEnd w:id="74"/>
          </w:p>
        </w:tc>
      </w:tr>
      <w:tr>
        <w:trPr/>
        <w:tc>
          <w:tcPr>
            <w:tcW w:w="4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business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46,190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92,780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29,671</w:t>
            </w:r>
          </w:p>
        </w:tc>
        <w:tc>
          <w:tcPr>
            <w:tcW w:w="110" w:type="dxa"/>
            <w:tcBorders/>
            <w:shd w:fill="CCEEFF" w:val="clear"/>
            <w:vAlign w:val="center"/>
          </w:tcPr>
          <w:p>
            <w:pPr>
              <w:pStyle w:val="TableContents"/>
              <w:bidi w:val="0"/>
              <w:spacing w:before="0" w:after="283"/>
              <w:jc w:val="left"/>
              <w:rPr/>
            </w:pPr>
            <w:r>
              <w:rPr/>
              <w:t> </w:t>
            </w:r>
            <w:bookmarkStart w:id="75" w:name="xdx_403_eus-gaap--LegalFees_maOEzv6H_zgl"/>
            <w:bookmarkEnd w:id="75"/>
          </w:p>
        </w:tc>
      </w:tr>
      <w:tr>
        <w:trPr/>
        <w:tc>
          <w:tcPr>
            <w:tcW w:w="4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Professional Fees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40,375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41,001</w:t>
            </w:r>
          </w:p>
        </w:tc>
        <w:tc>
          <w:tcPr>
            <w:tcW w:w="110" w:type="dxa"/>
            <w:tcBorders/>
            <w:shd w:fill="FFFFFF" w:val="clear"/>
            <w:vAlign w:val="center"/>
          </w:tcPr>
          <w:p>
            <w:pPr>
              <w:pStyle w:val="TableContents"/>
              <w:bidi w:val="0"/>
              <w:spacing w:before="0" w:after="283"/>
              <w:jc w:val="left"/>
              <w:rPr/>
            </w:pPr>
            <w:r>
              <w:rPr/>
              <w:t> </w:t>
            </w:r>
            <w:bookmarkStart w:id="76" w:name="xdx_40A_ecustom--PayrollExpense_maOEzv6H"/>
            <w:bookmarkEnd w:id="76"/>
          </w:p>
        </w:tc>
      </w:tr>
      <w:tr>
        <w:trPr/>
        <w:tc>
          <w:tcPr>
            <w:tcW w:w="4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Payroll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168,000</w:t>
            </w:r>
          </w:p>
        </w:tc>
        <w:tc>
          <w:tcPr>
            <w:tcW w:w="110" w:type="dxa"/>
            <w:tcBorders/>
            <w:shd w:fill="CCEEFF" w:val="clear"/>
            <w:vAlign w:val="center"/>
          </w:tcPr>
          <w:p>
            <w:pPr>
              <w:pStyle w:val="TableContents"/>
              <w:bidi w:val="0"/>
              <w:spacing w:before="0" w:after="283"/>
              <w:jc w:val="left"/>
              <w:rPr/>
            </w:pPr>
            <w:r>
              <w:rPr/>
              <w:t> </w:t>
            </w:r>
            <w:bookmarkStart w:id="77" w:name="xdx_406_eus-gaap--OtherExpenses_maOEzv6H"/>
            <w:bookmarkEnd w:id="77"/>
          </w:p>
        </w:tc>
      </w:tr>
      <w:tr>
        <w:trPr/>
        <w:tc>
          <w:tcPr>
            <w:tcW w:w="4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Expense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110" w:type="dxa"/>
            <w:tcBorders/>
            <w:shd w:fill="FFFFFF" w:val="clear"/>
            <w:vAlign w:val="center"/>
          </w:tcPr>
          <w:p>
            <w:pPr>
              <w:pStyle w:val="TableContents"/>
              <w:bidi w:val="0"/>
              <w:spacing w:before="0" w:after="283"/>
              <w:jc w:val="left"/>
              <w:rPr/>
            </w:pPr>
            <w:r>
              <w:rPr/>
              <w:t> </w:t>
            </w:r>
            <w:bookmarkStart w:id="78" w:name="xdx_407_eus-gaap--OperatingExpenses_iT_m"/>
            <w:bookmarkEnd w:id="78"/>
          </w:p>
        </w:tc>
      </w:tr>
      <w:tr>
        <w:trPr/>
        <w:tc>
          <w:tcPr>
            <w:tcW w:w="44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134,688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138,582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276,565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238,672</w:t>
            </w:r>
          </w:p>
        </w:tc>
        <w:tc>
          <w:tcPr>
            <w:tcW w:w="110" w:type="dxa"/>
            <w:tcBorders/>
            <w:shd w:fill="CCEEFF" w:val="clear"/>
            <w:vAlign w:val="center"/>
          </w:tcPr>
          <w:p>
            <w:pPr>
              <w:pStyle w:val="TableContents"/>
              <w:bidi w:val="0"/>
              <w:spacing w:before="0" w:after="283"/>
              <w:jc w:val="left"/>
              <w:rPr/>
            </w:pPr>
            <w:r>
              <w:rPr/>
              <w:t> </w:t>
            </w:r>
            <w:bookmarkStart w:id="79" w:name="xdx_408_eus-gaap--OperatingIncomeLoss_iT"/>
            <w:bookmarkEnd w:id="79"/>
          </w:p>
        </w:tc>
      </w:tr>
      <w:tr>
        <w:trPr/>
        <w:tc>
          <w:tcPr>
            <w:tcW w:w="445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Loss From Operations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(134,688</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(138,582</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(276,565</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(238,672</w:t>
            </w:r>
          </w:p>
        </w:tc>
        <w:tc>
          <w:tcPr>
            <w:tcW w:w="11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bookmarkStart w:id="80" w:name="xdx_400_eus-gaap--OtherNonoperatingIncom"/>
            <w:bookmarkEnd w:id="80"/>
          </w:p>
        </w:tc>
      </w:tr>
      <w:tr>
        <w:trPr/>
        <w:tc>
          <w:tcPr>
            <w:tcW w:w="4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81" w:name="xdx_408_eus-gaap--OtherNonoperatingIncom"/>
            <w:bookmarkEnd w:id="81"/>
          </w:p>
        </w:tc>
      </w:tr>
      <w:tr>
        <w:trPr/>
        <w:tc>
          <w:tcPr>
            <w:tcW w:w="4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110" w:type="dxa"/>
            <w:tcBorders/>
            <w:shd w:fill="FFFFFF" w:val="clear"/>
            <w:vAlign w:val="center"/>
          </w:tcPr>
          <w:p>
            <w:pPr>
              <w:pStyle w:val="TableContents"/>
              <w:bidi w:val="0"/>
              <w:spacing w:before="0" w:after="283"/>
              <w:jc w:val="left"/>
              <w:rPr/>
            </w:pPr>
            <w:r>
              <w:rPr/>
              <w:t> </w:t>
            </w:r>
            <w:bookmarkStart w:id="82" w:name="xdx_403_eus-gaap--InvestmentIncomeIntere"/>
            <w:bookmarkEnd w:id="82"/>
          </w:p>
        </w:tc>
      </w:tr>
      <w:tr>
        <w:trPr/>
        <w:tc>
          <w:tcPr>
            <w:tcW w:w="4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161,511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79,421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314,988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98,321</w:t>
            </w:r>
          </w:p>
        </w:tc>
        <w:tc>
          <w:tcPr>
            <w:tcW w:w="110" w:type="dxa"/>
            <w:tcBorders/>
            <w:shd w:fill="CCEEFF" w:val="clear"/>
            <w:vAlign w:val="center"/>
          </w:tcPr>
          <w:p>
            <w:pPr>
              <w:pStyle w:val="TableContents"/>
              <w:bidi w:val="0"/>
              <w:spacing w:before="0" w:after="283"/>
              <w:jc w:val="left"/>
              <w:rPr/>
            </w:pPr>
            <w:r>
              <w:rPr/>
              <w:t> </w:t>
            </w:r>
            <w:bookmarkStart w:id="83" w:name="xdx_405_eus-gaap--InterestExpenseNonoper"/>
            <w:bookmarkEnd w:id="83"/>
          </w:p>
        </w:tc>
      </w:tr>
      <w:tr>
        <w:trPr/>
        <w:tc>
          <w:tcPr>
            <w:tcW w:w="4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(58,941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(115,215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84" w:name="xdx_40A_eus-gaap--NonoperatingIncomeExpe"/>
            <w:bookmarkEnd w:id="84"/>
          </w:p>
        </w:tc>
      </w:tr>
      <w:tr>
        <w:trPr/>
        <w:tc>
          <w:tcPr>
            <w:tcW w:w="44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for Other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102,570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79,421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199,774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98,321</w:t>
            </w:r>
          </w:p>
        </w:tc>
        <w:tc>
          <w:tcPr>
            <w:tcW w:w="110" w:type="dxa"/>
            <w:tcBorders/>
            <w:shd w:fill="CCEEFF" w:val="clear"/>
            <w:vAlign w:val="center"/>
          </w:tcPr>
          <w:p>
            <w:pPr>
              <w:pStyle w:val="TableContents"/>
              <w:bidi w:val="0"/>
              <w:spacing w:before="0" w:after="283"/>
              <w:jc w:val="left"/>
              <w:rPr/>
            </w:pPr>
            <w:r>
              <w:rPr/>
              <w:t> </w:t>
            </w:r>
            <w:bookmarkStart w:id="85" w:name="xdx_402_eus-gaap--IncomeLossFromContinui"/>
            <w:bookmarkEnd w:id="85"/>
          </w:p>
        </w:tc>
      </w:tr>
      <w:tr>
        <w:trPr/>
        <w:tc>
          <w:tcPr>
            <w:tcW w:w="445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Loss Before Income Taxes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(32,118</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(59,161</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(76,792</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(140,351</w:t>
            </w:r>
          </w:p>
        </w:tc>
        <w:tc>
          <w:tcPr>
            <w:tcW w:w="11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bookmarkStart w:id="86" w:name="xdx_40F_eus-gaap--NetIncomeLoss_iT_mtNIL"/>
            <w:bookmarkEnd w:id="86"/>
          </w:p>
        </w:tc>
      </w:tr>
      <w:tr>
        <w:trPr/>
        <w:tc>
          <w:tcPr>
            <w:tcW w:w="44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(32,118</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(59,161</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(76,792</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(140,351</w:t>
            </w:r>
          </w:p>
        </w:tc>
        <w:tc>
          <w:tcPr>
            <w:tcW w:w="1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4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87" w:name="xdx_40F_eus-gaap--EarningsPerShareAbstra"/>
            <w:bookmarkEnd w:id="87"/>
          </w:p>
        </w:tc>
      </w:tr>
      <w:tr>
        <w:trPr/>
        <w:tc>
          <w:tcPr>
            <w:tcW w:w="44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 Per Common Share: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 and Diluted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bookmarkStart w:id="88" w:name="xdx_901_eus-gaap--EarningsPerShareDilute"/>
            <w:bookmarkStart w:id="89" w:name="xdx_90C_eus-gaap--EarningsPerShareBasic_"/>
            <w:bookmarkEnd w:id="88"/>
            <w:bookmarkEnd w:id="89"/>
            <w:r>
              <w:rPr>
                <w:rFonts w:ascii="Times New Roman;Times;Serif" w:hAnsi="Times New Roman;Times;Serif"/>
              </w:rPr>
              <w:t>(0.00018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bookmarkStart w:id="90" w:name="xdx_90B_eus-gaap--EarningsPerShareDilute"/>
            <w:bookmarkStart w:id="91" w:name="xdx_90C_eus-gaap--EarningsPerShareBasic_"/>
            <w:bookmarkEnd w:id="90"/>
            <w:bookmarkEnd w:id="91"/>
            <w:r>
              <w:rPr>
                <w:rFonts w:ascii="Times New Roman;Times;Serif" w:hAnsi="Times New Roman;Times;Serif"/>
              </w:rPr>
              <w:t>(0.00034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bookmarkStart w:id="92" w:name="xdx_90D_eus-gaap--EarningsPerShareDilute"/>
            <w:bookmarkStart w:id="93" w:name="xdx_907_eus-gaap--EarningsPerShareBasic_"/>
            <w:bookmarkEnd w:id="92"/>
            <w:bookmarkEnd w:id="93"/>
            <w:r>
              <w:rPr>
                <w:rFonts w:ascii="Times New Roman;Times;Serif" w:hAnsi="Times New Roman;Times;Serif"/>
              </w:rPr>
              <w:t>(0.00042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bookmarkStart w:id="94" w:name="xdx_902_eus-gaap--EarningsPerShareDilute"/>
            <w:bookmarkStart w:id="95" w:name="xdx_901_eus-gaap--EarningsPerShareBasic_"/>
            <w:bookmarkEnd w:id="94"/>
            <w:bookmarkEnd w:id="95"/>
            <w:r>
              <w:rPr>
                <w:rFonts w:ascii="Times New Roman;Times;Serif" w:hAnsi="Times New Roman;Times;Serif"/>
              </w:rPr>
              <w:t>(0.00078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96" w:name="xdx_406_eus-gaap--WeightedAverageNumberO"/>
            <w:bookmarkEnd w:id="96"/>
          </w:p>
        </w:tc>
      </w:tr>
      <w:tr>
        <w:trPr/>
        <w:tc>
          <w:tcPr>
            <w:tcW w:w="44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Weighted Average Number of Common Shares Outstanding: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 and Diluted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97" w:name="xdx_90E_eus-gaap--WeightedAverageNumberO"/>
            <w:bookmarkStart w:id="98" w:name="xdx_904_eus-gaap--WeightedAverageNumberO"/>
            <w:bookmarkEnd w:id="97"/>
            <w:bookmarkEnd w:id="98"/>
            <w:r>
              <w:rPr>
                <w:rFonts w:ascii="Times New Roman;Times;Serif" w:hAnsi="Times New Roman;Times;Serif"/>
              </w:rPr>
              <w:t>182,289,904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99" w:name="xdx_905_eus-gaap--WeightedAverageNumberO"/>
            <w:bookmarkStart w:id="100" w:name="xdx_904_eus-gaap--WeightedAverageNumberO"/>
            <w:bookmarkEnd w:id="99"/>
            <w:bookmarkEnd w:id="100"/>
            <w:r>
              <w:rPr>
                <w:rFonts w:ascii="Times New Roman;Times;Serif" w:hAnsi="Times New Roman;Times;Serif"/>
              </w:rPr>
              <w:t>175,793,101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101" w:name="xdx_90F_eus-gaap--WeightedAverageNumberO"/>
            <w:bookmarkStart w:id="102" w:name="xdx_908_eus-gaap--WeightedAverageNumberO"/>
            <w:bookmarkEnd w:id="101"/>
            <w:bookmarkEnd w:id="102"/>
            <w:r>
              <w:rPr>
                <w:rFonts w:ascii="Times New Roman;Times;Serif" w:hAnsi="Times New Roman;Times;Serif"/>
              </w:rPr>
              <w:t>182,289,904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103" w:name="xdx_90A_eus-gaap--WeightedAverageNumberO"/>
            <w:bookmarkStart w:id="104" w:name="xdx_902_eus-gaap--WeightedAverageNumberO"/>
            <w:bookmarkEnd w:id="103"/>
            <w:bookmarkEnd w:id="104"/>
            <w:r>
              <w:rPr>
                <w:rFonts w:ascii="Times New Roman;Times;Serif" w:hAnsi="Times New Roman;Times;Serif"/>
              </w:rPr>
              <w:t>180,147,046</w:t>
            </w:r>
          </w:p>
        </w:tc>
        <w:tc>
          <w:tcPr>
            <w:tcW w:w="110" w:type="dxa"/>
            <w:tcBorders/>
            <w:shd w:fill="FFFFFF" w:val="clear"/>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05" w:name="Aa_005"/>
      <w:bookmarkEnd w:id="105"/>
      <w:r>
        <w:rPr>
          <w:rFonts w:ascii="Times New Roman;Times;Serif" w:hAnsi="Times New Roman;Times;Serif"/>
          <w:b/>
          <w:i w:val="false"/>
          <w:caps w:val="false"/>
          <w:smallCaps w:val="false"/>
          <w:sz w:val="20"/>
        </w:rPr>
        <w:t>SUPERSTAR PLATFORMS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OF CHANGES IN STOCKHOLDERS EQUITY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 2025 AND JUNE 30,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EQUITY -SIX MONTHS ENDED JUNE 30, 2025</w:t>
      </w:r>
    </w:p>
    <w:p>
      <w:pPr>
        <w:pStyle w:val="TextBody"/>
        <w:bidi w:val="0"/>
        <w:ind w:left="0" w:right="0" w:hanging="0"/>
        <w:jc w:val="left"/>
        <w:rPr>
          <w:bdr w:val="single" w:sz="8" w:space="1" w:color="000000"/>
        </w:rPr>
      </w:pPr>
      <w:r>
        <w:rPr>
          <w:bdr w:val="single" w:sz="8" w:space="1" w:color="000000"/>
        </w:rPr>
        <w:t> </w:t>
      </w:r>
    </w:p>
    <w:p>
      <w:pPr>
        <w:pStyle w:val="TextBody"/>
        <w:bidi w:val="0"/>
        <w:jc w:val="center"/>
        <w:rPr/>
      </w:pPr>
      <w:r>
        <w:rPr/>
        <w:t> </w:t>
      </w:r>
    </w:p>
    <w:p>
      <w:pPr>
        <w:pStyle w:val="Normal"/>
        <w:bidi w:val="0"/>
        <w:spacing w:before="0" w:after="0"/>
        <w:jc w:val="left"/>
        <w:rPr>
          <w:sz w:val="4"/>
          <w:szCs w:val="4"/>
        </w:rPr>
      </w:pPr>
      <w:r>
        <w:rPr>
          <w:sz w:val="4"/>
          <w:szCs w:val="4"/>
        </w:rPr>
      </w:r>
      <w:bookmarkStart w:id="106" w:name="xdx_306_114_z9rO086DjFe6"/>
      <w:bookmarkStart w:id="107" w:name="xdx_306_114_z9rO086DjFe6"/>
      <w:bookmarkEnd w:id="107"/>
    </w:p>
    <w:tbl>
      <w:tblPr>
        <w:tblW w:w="10205" w:type="dxa"/>
        <w:jc w:val="left"/>
        <w:tblInd w:w="0" w:type="dxa"/>
        <w:tblLayout w:type="fixed"/>
        <w:tblCellMar>
          <w:top w:w="0" w:type="dxa"/>
          <w:left w:w="0" w:type="dxa"/>
          <w:bottom w:w="0" w:type="dxa"/>
          <w:right w:w="0" w:type="dxa"/>
        </w:tblCellMar>
      </w:tblPr>
      <w:tblGrid>
        <w:gridCol w:w="2529"/>
        <w:gridCol w:w="60"/>
        <w:gridCol w:w="60"/>
        <w:gridCol w:w="1220"/>
        <w:gridCol w:w="60"/>
        <w:gridCol w:w="60"/>
        <w:gridCol w:w="140"/>
        <w:gridCol w:w="800"/>
        <w:gridCol w:w="60"/>
        <w:gridCol w:w="60"/>
        <w:gridCol w:w="140"/>
        <w:gridCol w:w="800"/>
        <w:gridCol w:w="95"/>
        <w:gridCol w:w="60"/>
        <w:gridCol w:w="169"/>
        <w:gridCol w:w="1115"/>
        <w:gridCol w:w="60"/>
        <w:gridCol w:w="60"/>
        <w:gridCol w:w="140"/>
        <w:gridCol w:w="1055"/>
        <w:gridCol w:w="95"/>
        <w:gridCol w:w="60"/>
        <w:gridCol w:w="140"/>
        <w:gridCol w:w="1055"/>
        <w:gridCol w:w="112"/>
      </w:tblGrid>
      <w:tr>
        <w:trPr/>
        <w:tc>
          <w:tcPr>
            <w:tcW w:w="252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8" w:name="xdx_4BE_us-gaap--StatementEquityComponen"/>
            <w:bookmarkEnd w:id="108"/>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9" w:name="xdx_4B4_us-gaap--StatementEquityComponen"/>
            <w:bookmarkEnd w:id="109"/>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0" w:name="xdx_4B2_us-gaap--StatementEquityComponen"/>
            <w:bookmarkEnd w:id="110"/>
          </w:p>
        </w:tc>
        <w:tc>
          <w:tcPr>
            <w:tcW w:w="12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Subscribed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1" w:name="xdx_4BD_us-gaap--StatementEquityComponen"/>
            <w:bookmarkEnd w:id="111"/>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2" w:name="xdx_4BC_z70xx7yW9nE"/>
            <w:bookmarkEnd w:id="112"/>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112" w:type="dxa"/>
            <w:tcBorders/>
            <w:vAlign w:val="center"/>
          </w:tcPr>
          <w:p>
            <w:pPr>
              <w:pStyle w:val="TableContents"/>
              <w:bidi w:val="0"/>
              <w:spacing w:before="0" w:after="283"/>
              <w:jc w:val="left"/>
              <w:rPr/>
            </w:pPr>
            <w:r>
              <w:rPr/>
              <w:t> </w:t>
            </w:r>
          </w:p>
        </w:tc>
      </w:tr>
      <w:tr>
        <w:trPr/>
        <w:tc>
          <w:tcPr>
            <w:tcW w:w="252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34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Paid in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Common Stock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Accumulated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pPr>
            <w:r>
              <w:rPr/>
              <w:t> </w:t>
            </w:r>
          </w:p>
        </w:tc>
        <w:tc>
          <w:tcPr>
            <w:tcW w:w="112" w:type="dxa"/>
            <w:tcBorders/>
            <w:vAlign w:val="center"/>
          </w:tcPr>
          <w:p>
            <w:pPr>
              <w:pStyle w:val="TableContents"/>
              <w:bidi w:val="0"/>
              <w:spacing w:before="0" w:after="283"/>
              <w:jc w:val="left"/>
              <w:rPr/>
            </w:pPr>
            <w:r>
              <w:rPr/>
              <w:t> </w:t>
            </w:r>
          </w:p>
        </w:tc>
      </w:tr>
      <w:tr>
        <w:trPr/>
        <w:tc>
          <w:tcPr>
            <w:tcW w:w="252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Subscribed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112" w:type="dxa"/>
            <w:tcBorders/>
            <w:vAlign w:val="center"/>
          </w:tcPr>
          <w:p>
            <w:pPr>
              <w:pStyle w:val="TableContents"/>
              <w:bidi w:val="0"/>
              <w:spacing w:before="0" w:after="283"/>
              <w:jc w:val="left"/>
              <w:rPr/>
            </w:pPr>
            <w:r>
              <w:rPr/>
              <w:t> </w:t>
            </w:r>
          </w:p>
        </w:tc>
      </w:tr>
      <w:tr>
        <w:trPr/>
        <w:tc>
          <w:tcPr>
            <w:tcW w:w="25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bookmarkStart w:id="113" w:name="xdx_430_c20250101__20250331_eus-gaap--St"/>
            <w:bookmarkEnd w:id="113"/>
          </w:p>
        </w:tc>
      </w:tr>
      <w:tr>
        <w:trPr/>
        <w:tc>
          <w:tcPr>
            <w:tcW w:w="252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14" w:name="xdx_98C_eus-gaap--SharesOutstanding_iS_c"/>
            <w:bookmarkEnd w:id="114"/>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171,731,956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171,732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270,316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w:t>
            </w:r>
            <w:r>
              <w:rPr>
                <w:rFonts w:ascii="Times New Roman;Times;Serif" w:hAnsi="Times New Roman;Times;Serif"/>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(1,499,668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(1,057,620</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15" w:name="xdx_409_eus-gaap--NetIncomeLoss_pid_zL29"/>
            <w:bookmarkEnd w:id="115"/>
          </w:p>
        </w:tc>
      </w:tr>
      <w:tr>
        <w:trPr/>
        <w:tc>
          <w:tcPr>
            <w:tcW w:w="2529"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Profit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rFonts w:ascii="Times New Roman;Times;Serif" w:hAnsi="Times New Roman;Times;Serif"/>
                <w:sz w:val="20"/>
              </w:rPr>
              <w:t>-</w:t>
            </w: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(81,190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(81,190</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16" w:name="xdx_409_eus-gaap--StockIssuedDuringPerio"/>
            <w:bookmarkEnd w:id="116"/>
          </w:p>
        </w:tc>
      </w:tr>
      <w:tr>
        <w:trPr/>
        <w:tc>
          <w:tcPr>
            <w:tcW w:w="252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Shares Issued During the Period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17" w:name="xdx_987_eus-gaap--StockIssuedDuringPerio"/>
            <w:bookmarkEnd w:id="117"/>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4,007,145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18" w:name="xdx_43F_c20250401__20250630_eus-gaap--St"/>
            <w:bookmarkEnd w:id="118"/>
          </w:p>
        </w:tc>
      </w:tr>
      <w:tr>
        <w:trPr/>
        <w:tc>
          <w:tcPr>
            <w:tcW w:w="2529"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March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19" w:name="xdx_988_eus-gaap--SharesOutstanding_iS_c"/>
            <w:bookmarkEnd w:id="119"/>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175,739,101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175,739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305,374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(1,580,858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(1,099,745</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20" w:name="xdx_409_eus-gaap--StockIssuedDuringPerio"/>
            <w:bookmarkEnd w:id="120"/>
          </w:p>
        </w:tc>
      </w:tr>
      <w:tr>
        <w:trPr/>
        <w:tc>
          <w:tcPr>
            <w:tcW w:w="252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Shares issed During the Period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1" w:name="xdx_98D_eus-gaap--StockIssuedDuringPerio"/>
            <w:bookmarkEnd w:id="121"/>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4,407,945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22" w:name="xdx_409_eus-gaap--NetIncomeLoss_pid_zsVP"/>
            <w:bookmarkEnd w:id="122"/>
          </w:p>
        </w:tc>
      </w:tr>
      <w:tr>
        <w:trPr/>
        <w:tc>
          <w:tcPr>
            <w:tcW w:w="2529"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Profit (Loss) June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(11,671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(59,161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(59,161</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23" w:name="xdx_433_c20250401__20250630_eus-gaap--St"/>
            <w:bookmarkEnd w:id="123"/>
          </w:p>
        </w:tc>
      </w:tr>
      <w:tr>
        <w:trPr/>
        <w:tc>
          <w:tcPr>
            <w:tcW w:w="252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24" w:name="xdx_985_eus-gaap--SharesOutstanding_iE_c"/>
            <w:bookmarkEnd w:id="124"/>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180,147,046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180,147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258,645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(1,640,019</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(1,201,227</w:t>
            </w:r>
          </w:p>
        </w:tc>
        <w:tc>
          <w:tcPr>
            <w:tcW w:w="11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EQUITY -SIX MONTHS ENDED JUNE 30, 2026</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515"/>
        <w:gridCol w:w="60"/>
        <w:gridCol w:w="60"/>
        <w:gridCol w:w="1220"/>
        <w:gridCol w:w="60"/>
        <w:gridCol w:w="60"/>
        <w:gridCol w:w="140"/>
        <w:gridCol w:w="800"/>
        <w:gridCol w:w="60"/>
        <w:gridCol w:w="60"/>
        <w:gridCol w:w="140"/>
        <w:gridCol w:w="800"/>
        <w:gridCol w:w="60"/>
        <w:gridCol w:w="60"/>
        <w:gridCol w:w="143"/>
        <w:gridCol w:w="1191"/>
        <w:gridCol w:w="60"/>
        <w:gridCol w:w="60"/>
        <w:gridCol w:w="140"/>
        <w:gridCol w:w="1055"/>
        <w:gridCol w:w="95"/>
        <w:gridCol w:w="60"/>
        <w:gridCol w:w="140"/>
        <w:gridCol w:w="1055"/>
        <w:gridCol w:w="111"/>
      </w:tblGrid>
      <w:tr>
        <w:trPr/>
        <w:tc>
          <w:tcPr>
            <w:tcW w:w="25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5" w:name="xdx_4BE_us-gaap--StatementEquityComponen"/>
            <w:bookmarkEnd w:id="125"/>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6" w:name="xdx_4B4_us-gaap--StatementEquityComponen"/>
            <w:bookmarkEnd w:id="126"/>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7" w:name="xdx_4B2_us-gaap--StatementEquityComponen"/>
            <w:bookmarkEnd w:id="127"/>
          </w:p>
        </w:tc>
        <w:tc>
          <w:tcPr>
            <w:tcW w:w="13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Subscribed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8" w:name="xdx_4BD_us-gaap--StatementEquityComponen"/>
            <w:bookmarkEnd w:id="128"/>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9" w:name="xdx_4BC_zsADmIijNZ7j"/>
            <w:bookmarkEnd w:id="129"/>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111" w:type="dxa"/>
            <w:tcBorders/>
            <w:vAlign w:val="center"/>
          </w:tcPr>
          <w:p>
            <w:pPr>
              <w:pStyle w:val="TableContents"/>
              <w:bidi w:val="0"/>
              <w:spacing w:before="0" w:after="283"/>
              <w:jc w:val="left"/>
              <w:rPr/>
            </w:pPr>
            <w:r>
              <w:rPr/>
              <w:t> </w:t>
            </w:r>
          </w:p>
        </w:tc>
      </w:tr>
      <w:tr>
        <w:trPr/>
        <w:tc>
          <w:tcPr>
            <w:tcW w:w="25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34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Paid in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Common Stock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Accumulated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pPr>
            <w:r>
              <w:rPr/>
              <w:t> </w:t>
            </w:r>
          </w:p>
        </w:tc>
        <w:tc>
          <w:tcPr>
            <w:tcW w:w="111" w:type="dxa"/>
            <w:tcBorders/>
            <w:vAlign w:val="center"/>
          </w:tcPr>
          <w:p>
            <w:pPr>
              <w:pStyle w:val="TableContents"/>
              <w:bidi w:val="0"/>
              <w:spacing w:before="0" w:after="283"/>
              <w:jc w:val="left"/>
              <w:rPr/>
            </w:pPr>
            <w:r>
              <w:rPr/>
              <w:t> </w:t>
            </w:r>
          </w:p>
        </w:tc>
      </w:tr>
      <w:tr>
        <w:trPr/>
        <w:tc>
          <w:tcPr>
            <w:tcW w:w="25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Subscribed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111" w:type="dxa"/>
            <w:tcBorders/>
            <w:vAlign w:val="center"/>
          </w:tcPr>
          <w:p>
            <w:pPr>
              <w:pStyle w:val="TableContents"/>
              <w:bidi w:val="0"/>
              <w:spacing w:before="0" w:after="283"/>
              <w:jc w:val="left"/>
              <w:rPr/>
            </w:pPr>
            <w:r>
              <w:rPr/>
              <w:t> </w:t>
            </w:r>
          </w:p>
        </w:tc>
      </w:tr>
      <w:tr>
        <w:trPr/>
        <w:tc>
          <w:tcPr>
            <w:tcW w:w="2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bookmarkStart w:id="130" w:name="xdx_43A_c20260101__20260331_eus-gaap--St"/>
            <w:bookmarkEnd w:id="130"/>
          </w:p>
        </w:tc>
      </w:tr>
      <w:tr>
        <w:trPr/>
        <w:tc>
          <w:tcPr>
            <w:tcW w:w="251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1" w:name="xdx_98D_eus-gaap--SharesOutstanding_iS_c"/>
            <w:bookmarkEnd w:id="131"/>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182,289,904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182,290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356,568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w:t>
            </w:r>
            <w:r>
              <w:rPr>
                <w:rFonts w:ascii="Times New Roman;Times;Serif" w:hAnsi="Times New Roman;Times;Serif"/>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(1,835,034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(1,296,176</w:t>
            </w:r>
          </w:p>
        </w:tc>
        <w:tc>
          <w:tcPr>
            <w:tcW w:w="11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32" w:name="xdx_409_eus-gaap--NetIncomeLoss_pid_zR6z"/>
            <w:bookmarkEnd w:id="132"/>
          </w:p>
        </w:tc>
      </w:tr>
      <w:tr>
        <w:trPr/>
        <w:tc>
          <w:tcPr>
            <w:tcW w:w="251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Profit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24,397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rFonts w:ascii="Times New Roman;Times;Serif" w:hAnsi="Times New Roman;Times;Serif"/>
                <w:sz w:val="20"/>
              </w:rPr>
              <w:t>-</w:t>
            </w: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(44,674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(44,674</w:t>
            </w:r>
          </w:p>
        </w:tc>
        <w:tc>
          <w:tcPr>
            <w:tcW w:w="11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33" w:name="xdx_409_eus-gaap--StockIssuedDuringPerio"/>
            <w:bookmarkEnd w:id="133"/>
          </w:p>
        </w:tc>
      </w:tr>
      <w:tr>
        <w:trPr/>
        <w:tc>
          <w:tcPr>
            <w:tcW w:w="251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Shares Issued During the Period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4" w:name="xdx_98A_eus-gaap--StockIssuedDuringPerio"/>
            <w:bookmarkEnd w:id="134"/>
          </w:p>
        </w:tc>
        <w:tc>
          <w:tcPr>
            <w:tcW w:w="1220" w:type="dxa"/>
            <w:tcBorders/>
            <w:shd w:fill="CCEEFF" w:val="clear"/>
            <w:vAlign w:val="center"/>
          </w:tcPr>
          <w:p>
            <w:pPr>
              <w:pStyle w:val="TableContents"/>
              <w:bidi w:val="0"/>
              <w:spacing w:before="0" w:after="283"/>
              <w:jc w:val="right"/>
              <w:rPr/>
            </w:pPr>
            <w:r>
              <w:rPr>
                <w:rFonts w:ascii="Times New Roman;Times;Serif" w:hAnsi="Times New Roman;Times;Serif"/>
                <w:sz w:val="20"/>
              </w:rPr>
              <w:t>-</w:t>
            </w: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135" w:name="xdx_432_c20260401__20260630_eus-gaap--St"/>
            <w:bookmarkEnd w:id="135"/>
          </w:p>
        </w:tc>
      </w:tr>
      <w:tr>
        <w:trPr/>
        <w:tc>
          <w:tcPr>
            <w:tcW w:w="251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36" w:name="xdx_987_eus-gaap--SharesOutstanding_iS_c"/>
            <w:bookmarkEnd w:id="136"/>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182,289,904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182,290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380,965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(1,879,708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(1,316,453</w:t>
            </w:r>
          </w:p>
        </w:tc>
        <w:tc>
          <w:tcPr>
            <w:tcW w:w="11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37" w:name="xdx_43E_c20260401__20260630_eus-gaap--St"/>
            <w:bookmarkEnd w:id="137"/>
          </w:p>
        </w:tc>
      </w:tr>
      <w:tr>
        <w:trPr/>
        <w:tc>
          <w:tcPr>
            <w:tcW w:w="251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38" w:name="xdx_983_eus-gaap--SharesOutstanding_iS_c"/>
            <w:bookmarkEnd w:id="138"/>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182,289,904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182,290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380,965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(1,879,708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(1,316,453</w:t>
            </w:r>
          </w:p>
        </w:tc>
        <w:tc>
          <w:tcPr>
            <w:tcW w:w="11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39" w:name="xdx_409_eus-gaap--StockIssuedDuringPerio"/>
            <w:bookmarkEnd w:id="139"/>
          </w:p>
        </w:tc>
      </w:tr>
      <w:tr>
        <w:trPr/>
        <w:tc>
          <w:tcPr>
            <w:tcW w:w="251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Shares issed During the Period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0" w:name="xdx_981_eus-gaap--StockIssuedDuringPerio"/>
            <w:bookmarkEnd w:id="140"/>
          </w:p>
        </w:tc>
        <w:tc>
          <w:tcPr>
            <w:tcW w:w="1220" w:type="dxa"/>
            <w:tcBorders/>
            <w:shd w:fill="CCEEFF" w:val="clear"/>
            <w:vAlign w:val="center"/>
          </w:tcPr>
          <w:p>
            <w:pPr>
              <w:pStyle w:val="TableContents"/>
              <w:bidi w:val="0"/>
              <w:spacing w:before="0" w:after="283"/>
              <w:jc w:val="right"/>
              <w:rPr/>
            </w:pPr>
            <w:r>
              <w:rPr>
                <w:rFonts w:ascii="Times New Roman;Times;Serif" w:hAnsi="Times New Roman;Times;Serif"/>
                <w:sz w:val="20"/>
              </w:rPr>
              <w:t>-</w:t>
            </w: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141" w:name="xdx_402_eus-gaap--StockIssuedDuringPerio"/>
            <w:bookmarkEnd w:id="141"/>
          </w:p>
        </w:tc>
      </w:tr>
      <w:tr>
        <w:trPr/>
        <w:tc>
          <w:tcPr>
            <w:tcW w:w="251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Shares issued During the Period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2" w:name="xdx_981_eus-gaap--StockIssuedDuringPerio"/>
            <w:bookmarkEnd w:id="142"/>
          </w:p>
        </w:tc>
        <w:tc>
          <w:tcPr>
            <w:tcW w:w="1220" w:type="dxa"/>
            <w:tcBorders/>
            <w:shd w:fill="CCEEFF" w:val="clear"/>
            <w:vAlign w:val="center"/>
          </w:tcPr>
          <w:p>
            <w:pPr>
              <w:pStyle w:val="TableContents"/>
              <w:bidi w:val="0"/>
              <w:spacing w:before="0" w:after="283"/>
              <w:jc w:val="right"/>
              <w:rPr/>
            </w:pPr>
            <w:r>
              <w:rPr>
                <w:rFonts w:ascii="Times New Roman;Times;Serif" w:hAnsi="Times New Roman;Times;Serif"/>
                <w:sz w:val="20"/>
              </w:rPr>
              <w:t>-</w:t>
            </w: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143" w:name="xdx_409_eus-gaap--NetIncomeLoss_pid_zTyU"/>
            <w:bookmarkEnd w:id="143"/>
          </w:p>
        </w:tc>
      </w:tr>
      <w:tr>
        <w:trPr/>
        <w:tc>
          <w:tcPr>
            <w:tcW w:w="251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Profit (Loss)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32,088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(32,118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(32,118</w:t>
            </w:r>
          </w:p>
        </w:tc>
        <w:tc>
          <w:tcPr>
            <w:tcW w:w="11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4" w:name="xdx_403_eus-gaap--NetIncomeLoss_pid_zu2e"/>
            <w:bookmarkEnd w:id="144"/>
          </w:p>
        </w:tc>
      </w:tr>
      <w:tr>
        <w:trPr/>
        <w:tc>
          <w:tcPr>
            <w:tcW w:w="251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Profit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32,088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(32,118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(32,118</w:t>
            </w:r>
          </w:p>
        </w:tc>
        <w:tc>
          <w:tcPr>
            <w:tcW w:w="11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5" w:name="xdx_439_c20260401__20260630_eus-gaap--St"/>
            <w:bookmarkEnd w:id="145"/>
          </w:p>
        </w:tc>
      </w:tr>
      <w:tr>
        <w:trPr/>
        <w:tc>
          <w:tcPr>
            <w:tcW w:w="251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46" w:name="xdx_986_eus-gaap--SharesOutstanding_iE_c"/>
            <w:bookmarkEnd w:id="146"/>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182,289,904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182,290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388,656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9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(1,911,826</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(1,340,880</w:t>
            </w:r>
          </w:p>
        </w:tc>
        <w:tc>
          <w:tcPr>
            <w:tcW w:w="11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bookmarkStart w:id="147" w:name="xdx_43A_c20260401__20260630_eus-gaap--St"/>
            <w:bookmarkEnd w:id="147"/>
          </w:p>
        </w:tc>
      </w:tr>
      <w:tr>
        <w:trPr/>
        <w:tc>
          <w:tcPr>
            <w:tcW w:w="251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48" w:name="xdx_982_eus-gaap--SharesOutstanding_iE_c"/>
            <w:bookmarkEnd w:id="148"/>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182,289,904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182,290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388,656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9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(1,911,826</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(1,340,880</w:t>
            </w:r>
          </w:p>
        </w:tc>
        <w:tc>
          <w:tcPr>
            <w:tcW w:w="11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bl>
    <w:p>
      <w:pPr>
        <w:pStyle w:val="TextBody"/>
        <w:bidi w:val="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49" w:name="Aa_006"/>
      <w:bookmarkEnd w:id="149"/>
      <w:r>
        <w:rPr>
          <w:rFonts w:ascii="Times New Roman;Times;Serif" w:hAnsi="Times New Roman;Times;Serif"/>
          <w:b/>
          <w:i w:val="false"/>
          <w:caps w:val="false"/>
          <w:smallCaps w:val="false"/>
          <w:sz w:val="20"/>
        </w:rPr>
        <w:t>Superstar Platforms,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of Cash Flows</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50" w:name="xdx_306_112_zAKhDt7sDivd"/>
      <w:bookmarkStart w:id="151" w:name="xdx_306_112_zAKhDt7sDivd"/>
      <w:bookmarkEnd w:id="151"/>
    </w:p>
    <w:tbl>
      <w:tblPr>
        <w:tblW w:w="10205" w:type="dxa"/>
        <w:jc w:val="left"/>
        <w:tblInd w:w="0" w:type="dxa"/>
        <w:tblLayout w:type="fixed"/>
        <w:tblCellMar>
          <w:top w:w="0" w:type="dxa"/>
          <w:left w:w="0" w:type="dxa"/>
          <w:bottom w:w="28" w:type="dxa"/>
          <w:right w:w="0" w:type="dxa"/>
        </w:tblCellMar>
      </w:tblPr>
      <w:tblGrid>
        <w:gridCol w:w="7193"/>
        <w:gridCol w:w="60"/>
        <w:gridCol w:w="84"/>
        <w:gridCol w:w="1242"/>
        <w:gridCol w:w="95"/>
        <w:gridCol w:w="60"/>
        <w:gridCol w:w="73"/>
        <w:gridCol w:w="1286"/>
        <w:gridCol w:w="112"/>
      </w:tblGrid>
      <w:tr>
        <w:trPr/>
        <w:tc>
          <w:tcPr>
            <w:tcW w:w="7193"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Account Name</w:t>
            </w:r>
          </w:p>
        </w:tc>
        <w:tc>
          <w:tcPr>
            <w:tcW w:w="60" w:type="dxa"/>
            <w:tcBorders/>
            <w:tcMar>
              <w:bottom w:w="0" w:type="dxa"/>
            </w:tcMar>
            <w:vAlign w:val="center"/>
          </w:tcPr>
          <w:p>
            <w:pPr>
              <w:pStyle w:val="TableContents"/>
              <w:bidi w:val="0"/>
              <w:spacing w:before="0" w:after="283"/>
              <w:jc w:val="left"/>
              <w:rPr/>
            </w:pPr>
            <w:r>
              <w:rPr/>
              <w:t> </w:t>
            </w:r>
            <w:bookmarkStart w:id="152" w:name="xdx_498_20260101__20260630_zDZF4qEtZ2K1"/>
            <w:bookmarkEnd w:id="152"/>
          </w:p>
        </w:tc>
        <w:tc>
          <w:tcPr>
            <w:tcW w:w="1326"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53" w:name="xdx_495_20250101__20250630_z1hSI2LCCXvg"/>
            <w:bookmarkEnd w:id="153"/>
          </w:p>
        </w:tc>
        <w:tc>
          <w:tcPr>
            <w:tcW w:w="135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2025</w:t>
            </w:r>
          </w:p>
        </w:tc>
        <w:tc>
          <w:tcPr>
            <w:tcW w:w="112" w:type="dxa"/>
            <w:tcBorders/>
            <w:tcMar>
              <w:bottom w:w="0" w:type="dxa"/>
            </w:tcMar>
            <w:vAlign w:val="center"/>
          </w:tcPr>
          <w:p>
            <w:pPr>
              <w:pStyle w:val="TableContents"/>
              <w:bidi w:val="0"/>
              <w:spacing w:before="0" w:after="283"/>
              <w:jc w:val="left"/>
              <w:rPr/>
            </w:pPr>
            <w:r>
              <w:rPr/>
              <w:t> </w:t>
            </w:r>
            <w:bookmarkStart w:id="154" w:name="xdx_406_eus-gaap--NetCashProvidedByUsedI"/>
            <w:bookmarkEnd w:id="154"/>
          </w:p>
        </w:tc>
      </w:tr>
      <w:tr>
        <w:trPr/>
        <w:tc>
          <w:tcPr>
            <w:tcW w:w="719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242"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1286" w:type="dxa"/>
            <w:tcBorders/>
            <w:shd w:fill="CCEEFF" w:val="clear"/>
            <w:tcMar>
              <w:bottom w:w="0" w:type="dxa"/>
            </w:tcMar>
            <w:vAlign w:val="center"/>
          </w:tcPr>
          <w:p>
            <w:pPr>
              <w:pStyle w:val="TableContents"/>
              <w:bidi w:val="0"/>
              <w:spacing w:before="0" w:after="283"/>
              <w:jc w:val="right"/>
              <w:rPr/>
            </w:pPr>
            <w:r>
              <w:rPr/>
              <w:t> </w:t>
            </w:r>
          </w:p>
        </w:tc>
        <w:tc>
          <w:tcPr>
            <w:tcW w:w="112" w:type="dxa"/>
            <w:tcBorders/>
            <w:shd w:fill="CCEEFF" w:val="clear"/>
            <w:tcMar>
              <w:bottom w:w="0" w:type="dxa"/>
            </w:tcMar>
            <w:vAlign w:val="center"/>
          </w:tcPr>
          <w:p>
            <w:pPr>
              <w:pStyle w:val="TableContents"/>
              <w:bidi w:val="0"/>
              <w:spacing w:before="0" w:after="283"/>
              <w:jc w:val="left"/>
              <w:rPr/>
            </w:pPr>
            <w:r>
              <w:rPr/>
              <w:t> </w:t>
            </w:r>
            <w:bookmarkStart w:id="155" w:name="xdx_401_eus-gaap--NetIncomeLoss_i01_maCz"/>
            <w:bookmarkEnd w:id="155"/>
          </w:p>
        </w:tc>
      </w:tr>
      <w:tr>
        <w:trPr/>
        <w:tc>
          <w:tcPr>
            <w:tcW w:w="7193"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c>
          <w:tcPr>
            <w:tcW w:w="124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(76,792</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128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(140,351</w:t>
            </w:r>
          </w:p>
        </w:tc>
        <w:tc>
          <w:tcPr>
            <w:tcW w:w="11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56" w:name="xdx_40D_eus-gaap--AdjustmentsToReconcile"/>
            <w:bookmarkEnd w:id="156"/>
          </w:p>
        </w:tc>
      </w:tr>
      <w:tr>
        <w:trPr/>
        <w:tc>
          <w:tcPr>
            <w:tcW w:w="719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Adjustments to reconcile Net Income to Net Cash provided by operations: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242"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1286" w:type="dxa"/>
            <w:tcBorders/>
            <w:shd w:fill="CCEEFF" w:val="clear"/>
            <w:tcMar>
              <w:bottom w:w="0" w:type="dxa"/>
            </w:tcMar>
            <w:vAlign w:val="center"/>
          </w:tcPr>
          <w:p>
            <w:pPr>
              <w:pStyle w:val="TableContents"/>
              <w:bidi w:val="0"/>
              <w:spacing w:before="0" w:after="283"/>
              <w:jc w:val="right"/>
              <w:rPr/>
            </w:pPr>
            <w:r>
              <w:rPr/>
              <w:t> </w:t>
            </w:r>
          </w:p>
        </w:tc>
        <w:tc>
          <w:tcPr>
            <w:tcW w:w="112" w:type="dxa"/>
            <w:tcBorders/>
            <w:shd w:fill="CCEEFF" w:val="clear"/>
            <w:tcMar>
              <w:bottom w:w="0" w:type="dxa"/>
            </w:tcMar>
            <w:vAlign w:val="center"/>
          </w:tcPr>
          <w:p>
            <w:pPr>
              <w:pStyle w:val="TableContents"/>
              <w:bidi w:val="0"/>
              <w:spacing w:before="0" w:after="283"/>
              <w:jc w:val="left"/>
              <w:rPr/>
            </w:pPr>
            <w:r>
              <w:rPr/>
              <w:t> </w:t>
            </w:r>
            <w:bookmarkStart w:id="157" w:name="xdx_405_eus-gaap--ProvisionForDoubtfulAc"/>
            <w:bookmarkEnd w:id="157"/>
          </w:p>
        </w:tc>
      </w:tr>
      <w:tr>
        <w:trPr/>
        <w:tc>
          <w:tcPr>
            <w:tcW w:w="7193"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Allowance for bad debts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c>
          <w:tcPr>
            <w:tcW w:w="124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39,714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1286" w:type="dxa"/>
            <w:tcBorders/>
            <w:shd w:fill="FFFFFF" w:val="clear"/>
            <w:tcMar>
              <w:bottom w:w="0" w:type="dxa"/>
            </w:tcMar>
            <w:vAlign w:val="center"/>
          </w:tcPr>
          <w:p>
            <w:pPr>
              <w:pStyle w:val="TableContents"/>
              <w:bidi w:val="0"/>
              <w:spacing w:before="0" w:after="283"/>
              <w:jc w:val="right"/>
              <w:rPr/>
            </w:pPr>
            <w:r>
              <w:rPr/>
              <w:t> </w:t>
            </w:r>
          </w:p>
        </w:tc>
        <w:tc>
          <w:tcPr>
            <w:tcW w:w="112" w:type="dxa"/>
            <w:tcBorders/>
            <w:shd w:fill="FFFFFF" w:val="clear"/>
            <w:tcMar>
              <w:bottom w:w="0" w:type="dxa"/>
            </w:tcMar>
            <w:vAlign w:val="center"/>
          </w:tcPr>
          <w:p>
            <w:pPr>
              <w:pStyle w:val="TableContents"/>
              <w:bidi w:val="0"/>
              <w:spacing w:before="0" w:after="283"/>
              <w:jc w:val="left"/>
              <w:rPr/>
            </w:pPr>
            <w:r>
              <w:rPr/>
              <w:t> </w:t>
            </w:r>
            <w:bookmarkStart w:id="158" w:name="xdx_405_eus-gaap--IncreaseDecreaseInLong"/>
            <w:bookmarkEnd w:id="158"/>
          </w:p>
        </w:tc>
      </w:tr>
      <w:tr>
        <w:trPr/>
        <w:tc>
          <w:tcPr>
            <w:tcW w:w="719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Loan Receivable (L/R)</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24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(146,848</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128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(1,273,308</w:t>
            </w:r>
          </w:p>
        </w:tc>
        <w:tc>
          <w:tcPr>
            <w:tcW w:w="11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59" w:name="xdx_40F_eus-gaap--IncreaseDecreaseInAccr"/>
            <w:bookmarkEnd w:id="159"/>
          </w:p>
        </w:tc>
      </w:tr>
      <w:tr>
        <w:trPr/>
        <w:tc>
          <w:tcPr>
            <w:tcW w:w="7193"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Loan Receivable (L/R):Accrued Interest Receivable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c>
          <w:tcPr>
            <w:tcW w:w="124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(314,988</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128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(98,321</w:t>
            </w:r>
          </w:p>
        </w:tc>
        <w:tc>
          <w:tcPr>
            <w:tcW w:w="11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60" w:name="xdx_40C_eus-gaap--IncreaseDecreaseInNote"/>
            <w:bookmarkEnd w:id="160"/>
          </w:p>
        </w:tc>
      </w:tr>
      <w:tr>
        <w:trPr/>
        <w:tc>
          <w:tcPr>
            <w:tcW w:w="719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Notes Payable (N/P)</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24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144,000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128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2,600,000</w:t>
            </w:r>
          </w:p>
        </w:tc>
        <w:tc>
          <w:tcPr>
            <w:tcW w:w="112" w:type="dxa"/>
            <w:tcBorders/>
            <w:shd w:fill="CCEEFF" w:val="clear"/>
            <w:tcMar>
              <w:bottom w:w="0" w:type="dxa"/>
            </w:tcMar>
            <w:vAlign w:val="center"/>
          </w:tcPr>
          <w:p>
            <w:pPr>
              <w:pStyle w:val="TableContents"/>
              <w:bidi w:val="0"/>
              <w:spacing w:before="0" w:after="283"/>
              <w:jc w:val="left"/>
              <w:rPr/>
            </w:pPr>
            <w:r>
              <w:rPr/>
              <w:t> </w:t>
            </w:r>
            <w:bookmarkStart w:id="161" w:name="xdx_408_eus-gaap--IncreaseDecreaseInInte"/>
            <w:bookmarkEnd w:id="161"/>
          </w:p>
        </w:tc>
      </w:tr>
      <w:tr>
        <w:trPr/>
        <w:tc>
          <w:tcPr>
            <w:tcW w:w="7193"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Notes Payable (N/P):Interest Payable &amp; Other Payables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c>
          <w:tcPr>
            <w:tcW w:w="124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150,696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1286" w:type="dxa"/>
            <w:tcBorders/>
            <w:shd w:fill="FFFFFF" w:val="clear"/>
            <w:tcMar>
              <w:bottom w:w="0" w:type="dxa"/>
            </w:tcMar>
            <w:vAlign w:val="center"/>
          </w:tcPr>
          <w:p>
            <w:pPr>
              <w:pStyle w:val="TableContents"/>
              <w:bidi w:val="0"/>
              <w:spacing w:before="0" w:after="283"/>
              <w:jc w:val="right"/>
              <w:rPr/>
            </w:pPr>
            <w:r>
              <w:rPr/>
              <w:t> </w:t>
            </w:r>
          </w:p>
        </w:tc>
        <w:tc>
          <w:tcPr>
            <w:tcW w:w="112" w:type="dxa"/>
            <w:tcBorders/>
            <w:shd w:fill="FFFFFF" w:val="clear"/>
            <w:tcMar>
              <w:bottom w:w="0" w:type="dxa"/>
            </w:tcMar>
            <w:vAlign w:val="center"/>
          </w:tcPr>
          <w:p>
            <w:pPr>
              <w:pStyle w:val="TableContents"/>
              <w:bidi w:val="0"/>
              <w:spacing w:before="0" w:after="283"/>
              <w:jc w:val="left"/>
              <w:rPr/>
            </w:pPr>
            <w:r>
              <w:rPr/>
              <w:t> </w:t>
            </w:r>
            <w:bookmarkStart w:id="162" w:name="xdx_40E_eus-gaap--IncreaseDecreaseInAcco"/>
            <w:bookmarkEnd w:id="162"/>
          </w:p>
        </w:tc>
      </w:tr>
      <w:tr>
        <w:trPr/>
        <w:tc>
          <w:tcPr>
            <w:tcW w:w="719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Payables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24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1286" w:type="dxa"/>
            <w:tcBorders/>
            <w:shd w:fill="CCEEFF" w:val="clear"/>
            <w:tcMar>
              <w:bottom w:w="0" w:type="dxa"/>
            </w:tcMar>
            <w:vAlign w:val="center"/>
          </w:tcPr>
          <w:p>
            <w:pPr>
              <w:pStyle w:val="TableContents"/>
              <w:bidi w:val="0"/>
              <w:spacing w:before="0" w:after="283"/>
              <w:jc w:val="right"/>
              <w:rPr/>
            </w:pPr>
            <w:r>
              <w:rPr/>
              <w:t> </w:t>
            </w:r>
          </w:p>
        </w:tc>
        <w:tc>
          <w:tcPr>
            <w:tcW w:w="112" w:type="dxa"/>
            <w:tcBorders/>
            <w:shd w:fill="CCEEFF" w:val="clear"/>
            <w:tcMar>
              <w:bottom w:w="0" w:type="dxa"/>
            </w:tcMar>
            <w:vAlign w:val="center"/>
          </w:tcPr>
          <w:p>
            <w:pPr>
              <w:pStyle w:val="TableContents"/>
              <w:bidi w:val="0"/>
              <w:spacing w:before="0" w:after="283"/>
              <w:jc w:val="left"/>
              <w:rPr/>
            </w:pPr>
            <w:r>
              <w:rPr/>
              <w:t> </w:t>
            </w:r>
            <w:bookmarkStart w:id="163" w:name="xdx_40F_eus-gaap--IncreaseDecreaseInAccr"/>
            <w:bookmarkEnd w:id="163"/>
          </w:p>
        </w:tc>
      </w:tr>
      <w:tr>
        <w:trPr/>
        <w:tc>
          <w:tcPr>
            <w:tcW w:w="7193"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Salaries Payable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bottom w:val="single" w:sz="8" w:space="0" w:color="000000"/>
            </w:tcBorders>
            <w:shd w:fill="FFFFFF" w:val="clear"/>
            <w:vAlign w:val="center"/>
          </w:tcPr>
          <w:p>
            <w:pPr>
              <w:pStyle w:val="TableContents"/>
              <w:bidi w:val="0"/>
              <w:spacing w:before="0" w:after="283"/>
              <w:jc w:val="left"/>
              <w:rPr/>
            </w:pPr>
            <w:r>
              <w:rPr/>
              <w:t> </w:t>
            </w:r>
          </w:p>
        </w:tc>
        <w:tc>
          <w:tcPr>
            <w:tcW w:w="1242"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168,000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bottom w:val="single" w:sz="8" w:space="0" w:color="000000"/>
            </w:tcBorders>
            <w:shd w:fill="FFFFFF" w:val="clear"/>
            <w:vAlign w:val="center"/>
          </w:tcPr>
          <w:p>
            <w:pPr>
              <w:pStyle w:val="TableContents"/>
              <w:bidi w:val="0"/>
              <w:spacing w:before="0" w:after="283"/>
              <w:jc w:val="left"/>
              <w:rPr/>
            </w:pPr>
            <w:r>
              <w:rPr/>
              <w:t> </w:t>
            </w:r>
          </w:p>
        </w:tc>
        <w:tc>
          <w:tcPr>
            <w:tcW w:w="1286"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168,000</w:t>
            </w:r>
          </w:p>
        </w:tc>
        <w:tc>
          <w:tcPr>
            <w:tcW w:w="112" w:type="dxa"/>
            <w:tcBorders/>
            <w:shd w:fill="FFFFFF" w:val="clear"/>
            <w:tcMar>
              <w:bottom w:w="0" w:type="dxa"/>
            </w:tcMar>
            <w:vAlign w:val="center"/>
          </w:tcPr>
          <w:p>
            <w:pPr>
              <w:pStyle w:val="TableContents"/>
              <w:bidi w:val="0"/>
              <w:spacing w:before="0" w:after="283"/>
              <w:jc w:val="left"/>
              <w:rPr/>
            </w:pPr>
            <w:r>
              <w:rPr/>
              <w:t> </w:t>
            </w:r>
            <w:bookmarkStart w:id="164" w:name="xdx_406_eus-gaap--AdjustmentsToReconcile"/>
            <w:bookmarkEnd w:id="164"/>
          </w:p>
        </w:tc>
      </w:tr>
      <w:tr>
        <w:trPr/>
        <w:tc>
          <w:tcPr>
            <w:tcW w:w="7193"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for Adjustments to reconcile Net Income to Net Cash provided by operations: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bottom w:val="single" w:sz="8" w:space="0" w:color="000000"/>
            </w:tcBorders>
            <w:shd w:fill="CCEEFF" w:val="clear"/>
            <w:vAlign w:val="center"/>
          </w:tcPr>
          <w:p>
            <w:pPr>
              <w:pStyle w:val="TableContents"/>
              <w:bidi w:val="0"/>
              <w:spacing w:before="0" w:after="283"/>
              <w:jc w:val="left"/>
              <w:rPr/>
            </w:pPr>
            <w:r>
              <w:rPr/>
              <w:t> </w:t>
            </w:r>
          </w:p>
        </w:tc>
        <w:tc>
          <w:tcPr>
            <w:tcW w:w="124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43,574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bottom w:val="single" w:sz="8" w:space="0" w:color="000000"/>
            </w:tcBorders>
            <w:shd w:fill="CCEEFF" w:val="clear"/>
            <w:vAlign w:val="center"/>
          </w:tcPr>
          <w:p>
            <w:pPr>
              <w:pStyle w:val="TableContents"/>
              <w:bidi w:val="0"/>
              <w:spacing w:before="0" w:after="283"/>
              <w:jc w:val="left"/>
              <w:rPr/>
            </w:pPr>
            <w:r>
              <w:rPr/>
              <w:t> </w:t>
            </w:r>
          </w:p>
        </w:tc>
        <w:tc>
          <w:tcPr>
            <w:tcW w:w="1286"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1,396,371</w:t>
            </w:r>
          </w:p>
        </w:tc>
        <w:tc>
          <w:tcPr>
            <w:tcW w:w="112" w:type="dxa"/>
            <w:tcBorders/>
            <w:shd w:fill="CCEEFF" w:val="clear"/>
            <w:tcMar>
              <w:bottom w:w="0" w:type="dxa"/>
            </w:tcMar>
            <w:vAlign w:val="center"/>
          </w:tcPr>
          <w:p>
            <w:pPr>
              <w:pStyle w:val="TableContents"/>
              <w:bidi w:val="0"/>
              <w:spacing w:before="0" w:after="283"/>
              <w:jc w:val="left"/>
              <w:rPr/>
            </w:pPr>
            <w:r>
              <w:rPr/>
              <w:t> </w:t>
            </w:r>
            <w:bookmarkStart w:id="165" w:name="xdx_401_eus-gaap--NetCashProvidedByUsedI"/>
            <w:bookmarkEnd w:id="165"/>
          </w:p>
        </w:tc>
      </w:tr>
      <w:tr>
        <w:trPr/>
        <w:tc>
          <w:tcPr>
            <w:tcW w:w="7193" w:type="dxa"/>
            <w:tcBorders/>
            <w:shd w:fill="FFFF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provided by operating activities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c>
          <w:tcPr>
            <w:tcW w:w="1242" w:type="dxa"/>
            <w:tcBorders/>
            <w:shd w:fill="FFFFFF" w:val="clear"/>
            <w:tcMar>
              <w:bottom w:w="0"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(33,218</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1286" w:type="dxa"/>
            <w:tcBorders/>
            <w:shd w:fill="FFFFFF" w:val="clear"/>
            <w:tcMar>
              <w:bottom w:w="0"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1,256,020</w:t>
            </w:r>
          </w:p>
        </w:tc>
        <w:tc>
          <w:tcPr>
            <w:tcW w:w="112" w:type="dxa"/>
            <w:tcBorders/>
            <w:shd w:fill="FFFFFF" w:val="clear"/>
            <w:tcMar>
              <w:bottom w:w="0" w:type="dxa"/>
            </w:tcMar>
            <w:vAlign w:val="center"/>
          </w:tcPr>
          <w:p>
            <w:pPr>
              <w:pStyle w:val="TableContents"/>
              <w:bidi w:val="0"/>
              <w:spacing w:before="0" w:after="283"/>
              <w:jc w:val="left"/>
              <w:rPr/>
            </w:pPr>
            <w:r>
              <w:rPr/>
              <w:t> </w:t>
            </w:r>
            <w:bookmarkStart w:id="166" w:name="xdx_409_eus-gaap--NetCashProvidedByUsedI"/>
            <w:bookmarkEnd w:id="166"/>
          </w:p>
        </w:tc>
      </w:tr>
      <w:tr>
        <w:trPr/>
        <w:tc>
          <w:tcPr>
            <w:tcW w:w="719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242"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1286" w:type="dxa"/>
            <w:tcBorders/>
            <w:shd w:fill="CCEEFF" w:val="clear"/>
            <w:tcMar>
              <w:bottom w:w="0" w:type="dxa"/>
            </w:tcMar>
            <w:vAlign w:val="center"/>
          </w:tcPr>
          <w:p>
            <w:pPr>
              <w:pStyle w:val="TableContents"/>
              <w:bidi w:val="0"/>
              <w:spacing w:before="0" w:after="283"/>
              <w:jc w:val="right"/>
              <w:rPr/>
            </w:pPr>
            <w:r>
              <w:rPr/>
              <w:t> </w:t>
            </w:r>
          </w:p>
        </w:tc>
        <w:tc>
          <w:tcPr>
            <w:tcW w:w="112" w:type="dxa"/>
            <w:tcBorders/>
            <w:shd w:fill="CCEEFF" w:val="clear"/>
            <w:tcMar>
              <w:bottom w:w="0" w:type="dxa"/>
            </w:tcMar>
            <w:vAlign w:val="center"/>
          </w:tcPr>
          <w:p>
            <w:pPr>
              <w:pStyle w:val="TableContents"/>
              <w:bidi w:val="0"/>
              <w:spacing w:before="0" w:after="283"/>
              <w:jc w:val="left"/>
              <w:rPr/>
            </w:pPr>
            <w:r>
              <w:rPr/>
              <w:t> </w:t>
            </w:r>
            <w:bookmarkStart w:id="167" w:name="xdx_40F_ecustom--ProceedsAndRepurchaseFr"/>
            <w:bookmarkEnd w:id="167"/>
          </w:p>
        </w:tc>
      </w:tr>
      <w:tr>
        <w:trPr/>
        <w:tc>
          <w:tcPr>
            <w:tcW w:w="7193"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Additional paid in capital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c>
          <w:tcPr>
            <w:tcW w:w="124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32,088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128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(24,300</w:t>
            </w:r>
          </w:p>
        </w:tc>
        <w:tc>
          <w:tcPr>
            <w:tcW w:w="11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68" w:name="xdx_40F_eus-gaap--ProceedsFromIssuanceOf"/>
            <w:bookmarkEnd w:id="168"/>
          </w:p>
        </w:tc>
      </w:tr>
      <w:tr>
        <w:trPr/>
        <w:tc>
          <w:tcPr>
            <w:tcW w:w="719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24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128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8,415</w:t>
            </w:r>
          </w:p>
        </w:tc>
        <w:tc>
          <w:tcPr>
            <w:tcW w:w="112" w:type="dxa"/>
            <w:tcBorders/>
            <w:shd w:fill="CCEEFF" w:val="clear"/>
            <w:tcMar>
              <w:bottom w:w="0" w:type="dxa"/>
            </w:tcMar>
            <w:vAlign w:val="center"/>
          </w:tcPr>
          <w:p>
            <w:pPr>
              <w:pStyle w:val="TableContents"/>
              <w:bidi w:val="0"/>
              <w:spacing w:before="0" w:after="283"/>
              <w:jc w:val="left"/>
              <w:rPr/>
            </w:pPr>
            <w:r>
              <w:rPr/>
              <w:t> </w:t>
            </w:r>
            <w:bookmarkStart w:id="169" w:name="xdx_409_eus-gaap--NetCashProvidedByUsedI"/>
            <w:bookmarkEnd w:id="169"/>
          </w:p>
        </w:tc>
      </w:tr>
      <w:tr>
        <w:trPr/>
        <w:tc>
          <w:tcPr>
            <w:tcW w:w="7193" w:type="dxa"/>
            <w:tcBorders/>
            <w:shd w:fill="FFFF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provided by financing activities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bottom w:val="single" w:sz="8" w:space="0" w:color="000000"/>
            </w:tcBorders>
            <w:shd w:fill="FFFFFF" w:val="clear"/>
            <w:vAlign w:val="center"/>
          </w:tcPr>
          <w:p>
            <w:pPr>
              <w:pStyle w:val="TableContents"/>
              <w:bidi w:val="0"/>
              <w:spacing w:before="0" w:after="283"/>
              <w:jc w:val="left"/>
              <w:rPr/>
            </w:pPr>
            <w:r>
              <w:rPr/>
              <w:t> </w:t>
            </w:r>
          </w:p>
        </w:tc>
        <w:tc>
          <w:tcPr>
            <w:tcW w:w="1242"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32,088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bottom w:val="single" w:sz="8" w:space="0" w:color="000000"/>
            </w:tcBorders>
            <w:shd w:fill="FFFFFF" w:val="clear"/>
            <w:vAlign w:val="center"/>
          </w:tcPr>
          <w:p>
            <w:pPr>
              <w:pStyle w:val="TableContents"/>
              <w:bidi w:val="0"/>
              <w:spacing w:before="0" w:after="283"/>
              <w:jc w:val="left"/>
              <w:rPr/>
            </w:pPr>
            <w:r>
              <w:rPr/>
              <w:t> </w:t>
            </w:r>
          </w:p>
        </w:tc>
        <w:tc>
          <w:tcPr>
            <w:tcW w:w="1286"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(15,885</w:t>
            </w:r>
          </w:p>
        </w:tc>
        <w:tc>
          <w:tcPr>
            <w:tcW w:w="112" w:type="dxa"/>
            <w:tcBorders/>
            <w:shd w:fill="FFFF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bookmarkStart w:id="170" w:name="xdx_409_eus-gaap--CashCashEquivalentsRes"/>
            <w:bookmarkEnd w:id="170"/>
          </w:p>
        </w:tc>
      </w:tr>
      <w:tr>
        <w:trPr/>
        <w:tc>
          <w:tcPr>
            <w:tcW w:w="7193"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INCREASE FOR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bottom w:val="single" w:sz="8" w:space="0" w:color="000000"/>
            </w:tcBorders>
            <w:shd w:fill="CCEEFF" w:val="clear"/>
            <w:vAlign w:val="center"/>
          </w:tcPr>
          <w:p>
            <w:pPr>
              <w:pStyle w:val="TableContents"/>
              <w:bidi w:val="0"/>
              <w:spacing w:before="0" w:after="283"/>
              <w:jc w:val="left"/>
              <w:rPr/>
            </w:pPr>
            <w:r>
              <w:rPr/>
              <w:t> </w:t>
            </w:r>
          </w:p>
        </w:tc>
        <w:tc>
          <w:tcPr>
            <w:tcW w:w="124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(1,130</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bottom w:val="single" w:sz="8" w:space="0" w:color="000000"/>
            </w:tcBorders>
            <w:shd w:fill="CCEEFF" w:val="clear"/>
            <w:vAlign w:val="center"/>
          </w:tcPr>
          <w:p>
            <w:pPr>
              <w:pStyle w:val="TableContents"/>
              <w:bidi w:val="0"/>
              <w:spacing w:before="0" w:after="283"/>
              <w:jc w:val="left"/>
              <w:rPr/>
            </w:pPr>
            <w:r>
              <w:rPr/>
              <w:t> </w:t>
            </w:r>
          </w:p>
        </w:tc>
        <w:tc>
          <w:tcPr>
            <w:tcW w:w="1286"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1,240,135</w:t>
            </w:r>
          </w:p>
        </w:tc>
        <w:tc>
          <w:tcPr>
            <w:tcW w:w="112" w:type="dxa"/>
            <w:tcBorders/>
            <w:shd w:fill="CCEEFF" w:val="clear"/>
            <w:tcMar>
              <w:bottom w:w="0" w:type="dxa"/>
            </w:tcMar>
            <w:vAlign w:val="center"/>
          </w:tcPr>
          <w:p>
            <w:pPr>
              <w:pStyle w:val="TableContents"/>
              <w:bidi w:val="0"/>
              <w:spacing w:before="0" w:after="283"/>
              <w:jc w:val="left"/>
              <w:rPr/>
            </w:pPr>
            <w:r>
              <w:rPr/>
              <w:t> </w:t>
            </w:r>
            <w:bookmarkStart w:id="171" w:name="xdx_408_eus-gaap--CashCashEquivalentsRes"/>
            <w:bookmarkEnd w:id="171"/>
          </w:p>
        </w:tc>
      </w:tr>
      <w:tr>
        <w:trPr/>
        <w:tc>
          <w:tcPr>
            <w:tcW w:w="7193" w:type="dxa"/>
            <w:tcBorders/>
            <w:shd w:fill="FFFF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at beginning of period</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bottom w:val="single" w:sz="8" w:space="0" w:color="000000"/>
            </w:tcBorders>
            <w:shd w:fill="FFFFFF" w:val="clear"/>
            <w:vAlign w:val="center"/>
          </w:tcPr>
          <w:p>
            <w:pPr>
              <w:pStyle w:val="TableContents"/>
              <w:bidi w:val="0"/>
              <w:spacing w:before="0" w:after="283"/>
              <w:jc w:val="left"/>
              <w:rPr/>
            </w:pPr>
            <w:r>
              <w:rPr/>
              <w:t> </w:t>
            </w:r>
          </w:p>
        </w:tc>
        <w:tc>
          <w:tcPr>
            <w:tcW w:w="1242"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1,138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bottom w:val="single" w:sz="8" w:space="0" w:color="000000"/>
            </w:tcBorders>
            <w:shd w:fill="FFFFFF" w:val="clear"/>
            <w:vAlign w:val="center"/>
          </w:tcPr>
          <w:p>
            <w:pPr>
              <w:pStyle w:val="TableContents"/>
              <w:bidi w:val="0"/>
              <w:spacing w:before="0" w:after="283"/>
              <w:jc w:val="left"/>
              <w:rPr/>
            </w:pPr>
            <w:r>
              <w:rPr/>
              <w:t> </w:t>
            </w:r>
          </w:p>
        </w:tc>
        <w:tc>
          <w:tcPr>
            <w:tcW w:w="1286"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54</w:t>
            </w:r>
          </w:p>
        </w:tc>
        <w:tc>
          <w:tcPr>
            <w:tcW w:w="112" w:type="dxa"/>
            <w:tcBorders/>
            <w:shd w:fill="FFFFFF" w:val="clear"/>
            <w:tcMar>
              <w:bottom w:w="0" w:type="dxa"/>
            </w:tcMar>
            <w:vAlign w:val="center"/>
          </w:tcPr>
          <w:p>
            <w:pPr>
              <w:pStyle w:val="TableContents"/>
              <w:bidi w:val="0"/>
              <w:spacing w:before="0" w:after="283"/>
              <w:jc w:val="left"/>
              <w:rPr/>
            </w:pPr>
            <w:r>
              <w:rPr/>
              <w:t> </w:t>
            </w:r>
            <w:bookmarkStart w:id="172" w:name="xdx_404_eus-gaap--CashCashEquivalentsRes"/>
            <w:bookmarkEnd w:id="172"/>
          </w:p>
        </w:tc>
      </w:tr>
      <w:tr>
        <w:trPr/>
        <w:tc>
          <w:tcPr>
            <w:tcW w:w="7193"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AT END OF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bottom w:val="double" w:sz="6" w:space="0" w:color="000000"/>
            </w:tcBorders>
            <w:shd w:fill="CCEEFF" w:val="clear"/>
            <w:vAlign w:val="center"/>
          </w:tcPr>
          <w:p>
            <w:pPr>
              <w:pStyle w:val="TableContents"/>
              <w:bidi w:val="0"/>
              <w:spacing w:before="0" w:after="283"/>
              <w:jc w:val="left"/>
              <w:rPr/>
            </w:pPr>
            <w:r>
              <w:rPr/>
              <w:t> </w:t>
            </w:r>
          </w:p>
        </w:tc>
        <w:tc>
          <w:tcPr>
            <w:tcW w:w="1242"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bottom w:val="double" w:sz="6" w:space="0" w:color="000000"/>
            </w:tcBorders>
            <w:shd w:fill="CCEEFF" w:val="clear"/>
            <w:vAlign w:val="center"/>
          </w:tcPr>
          <w:p>
            <w:pPr>
              <w:pStyle w:val="TableContents"/>
              <w:bidi w:val="0"/>
              <w:spacing w:before="0" w:after="283"/>
              <w:jc w:val="left"/>
              <w:rPr/>
            </w:pPr>
            <w:r>
              <w:rPr/>
              <w:t> </w:t>
            </w:r>
          </w:p>
        </w:tc>
        <w:tc>
          <w:tcPr>
            <w:tcW w:w="1286"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1,240,189</w:t>
            </w:r>
          </w:p>
        </w:tc>
        <w:tc>
          <w:tcPr>
            <w:tcW w:w="112"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jc w:val="center"/>
        <w:rPr>
          <w:caps w:val="false"/>
          <w:smallCaps w:val="false"/>
        </w:rPr>
      </w:pPr>
      <w:r>
        <w:rPr>
          <w:caps w:val="false"/>
          <w:smallCaps w:val="false"/>
        </w:rPr>
        <w:t> </w:t>
      </w:r>
    </w:p>
    <w:p>
      <w:pPr>
        <w:pStyle w:val="TextBody"/>
        <w:bidi w:val="0"/>
        <w:ind w:left="0" w:right="0" w:hanging="180"/>
        <w:jc w:val="center"/>
        <w:rPr>
          <w:rFonts w:ascii="Times New Roman;Times;Serif" w:hAnsi="Times New Roman;Times;Serif"/>
          <w:b/>
          <w:i w:val="false"/>
          <w:caps w:val="false"/>
          <w:smallCaps w:val="false"/>
          <w:sz w:val="20"/>
        </w:rPr>
      </w:pPr>
      <w:bookmarkStart w:id="173" w:name="Aa_007"/>
      <w:bookmarkEnd w:id="173"/>
      <w:r>
        <w:rPr>
          <w:rFonts w:ascii="Times New Roman;Times;Serif" w:hAnsi="Times New Roman;Times;Serif"/>
          <w:b/>
          <w:i w:val="false"/>
          <w:caps w:val="false"/>
          <w:smallCaps w:val="false"/>
          <w:sz w:val="20"/>
        </w:rPr>
        <w:t>Notes to the Financial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174" w:name="xdx_80E_eus-gaap--OrganizationConsolidat"/>
      <w:bookmarkEnd w:id="174"/>
      <w:r>
        <w:rPr>
          <w:rFonts w:ascii="Times New Roman;Times;Serif" w:hAnsi="Times New Roman;Times;Serif"/>
          <w:b/>
          <w:i w:val="false"/>
          <w:caps w:val="false"/>
          <w:smallCaps w:val="false"/>
          <w:sz w:val="20"/>
        </w:rPr>
        <w:t>NOTE 1 –</w:t>
      </w:r>
      <w:bookmarkStart w:id="175" w:name="xdx_820_zgGCImeriCSa"/>
      <w:bookmarkEnd w:id="175"/>
      <w:r>
        <w:rPr>
          <w:rFonts w:ascii="Times New Roman;Times;Serif" w:hAnsi="Times New Roman;Times;Serif"/>
          <w:b/>
          <w:i w:val="false"/>
          <w:caps w:val="false"/>
          <w:smallCaps w:val="false"/>
          <w:sz w:val="20"/>
        </w:rPr>
        <w:t>ORGANIZATION AND BUSINESS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Superstar Platforms, Inc. (“Superstar Platforms,” the “Company,” “we,” “us,” or “our”) was incorporated on March 27, 2025, under the laws of the State of Nevada. The Company is a technology-focused holding company that seeks to build, acquire, and scale businesses across multiple industries through strategic acquisitions and technology-driven platforms.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Superstar Platforms operates as the parent company of a diversified portfolio of subsidiaries and strategic initiatives. The Company’s business strategy is centered on identifying and acquiring businesses that can benefit from centralized capital resources, operational support, and technology infrastructure. Through this model, the Company intends to provide strategic capital, management expertise, and technological innovation designed to support the growth and development of its subsidiaries and operating platforms.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key component of the Company’s strategy is the development of technology-enabled marketplaces and financial services platforms capable of generating scalable and recurring revenue streams. One of the Company’s primary initiatives is the development of PawnTrust, a digital marketplace designed to connect pawn shops and consumers through a mobile-based platform. PawnTrust is intended to enable pawn shops to digitize their inventory and facilitate borrowing, buying, and bartering transactions through an integrated online marketplace. Management believes that the PawnTrust platform has the potential to modernize and expand access to the pawn industry by providing a technology-driven solution for inventory management and consumer transactions.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its technology development initiatives, the Company currently generates revenue primarily through interest income earned on promissory notes issued to both related and unrelated parties. These lending activities are intended to support strategic relationships, provide working capital to affiliated and third-party businesses, and generate recurring interest income.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long-term objective is to build a diversified technology and investment platform that combines strategic capital deployment, technology innovation, and disciplined acquisition strategy to create scalable operating businesses and long-term shareholder value.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principal executive office is located in Marietta, Georgia.</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176" w:name="xdx_800_eus-gaap--SubstantialDoubtAboutG"/>
      <w:bookmarkEnd w:id="176"/>
      <w:r>
        <w:rPr>
          <w:rFonts w:ascii="Times New Roman;Times;Serif" w:hAnsi="Times New Roman;Times;Serif"/>
          <w:b/>
          <w:i w:val="false"/>
          <w:caps w:val="false"/>
          <w:smallCaps w:val="false"/>
          <w:sz w:val="20"/>
        </w:rPr>
        <w:t>NOTE 2 –</w:t>
      </w:r>
      <w:bookmarkStart w:id="177" w:name="xdx_826_zZOQ8dBOt7s5"/>
      <w:bookmarkEnd w:id="177"/>
      <w:r>
        <w:rPr>
          <w:rFonts w:ascii="Times New Roman;Times;Serif" w:hAnsi="Times New Roman;Times;Serif"/>
          <w:b/>
          <w:i w:val="false"/>
          <w:caps w:val="false"/>
          <w:smallCaps w:val="false"/>
          <w:sz w:val="20"/>
        </w:rPr>
        <w:t>GOING CONCERN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statements as of June 30, 2026 have been prepared using generally accepted accounting principles in the United States of America applicable to a going concern, which contemplates the realization of assets and liquidation of liabilities in the normal course of business. The Company has accumulated deficit of $</w:t>
      </w:r>
      <w:bookmarkStart w:id="178" w:name="xdx_906_eus-gaap--RetainedEarningsAccumu"/>
      <w:bookmarkEnd w:id="178"/>
      <w:r>
        <w:rPr>
          <w:rFonts w:ascii="Times New Roman;Times;Serif" w:hAnsi="Times New Roman;Times;Serif"/>
          <w:b w:val="false"/>
          <w:i w:val="false"/>
          <w:caps w:val="false"/>
          <w:smallCaps w:val="false"/>
          <w:sz w:val="20"/>
        </w:rPr>
        <w:t>(1,911,826). As of June 30, 2026, the company owns PawnTrust and, while not currently operating broader active business lines, is actively pursuing additional acquisitions to strengthen its operations and support its continued growth.</w:t>
      </w:r>
    </w:p>
    <w:p>
      <w:pPr>
        <w:pStyle w:val="TextBody"/>
        <w:bidi w:val="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179" w:name="xdx_80B_eus-gaap--SignificantAccountingP"/>
      <w:bookmarkEnd w:id="179"/>
      <w:r>
        <w:rPr>
          <w:rFonts w:ascii="Times New Roman;Times;Serif" w:hAnsi="Times New Roman;Times;Serif"/>
          <w:b/>
          <w:i w:val="false"/>
          <w:caps w:val="false"/>
          <w:smallCaps w:val="false"/>
          <w:sz w:val="20"/>
        </w:rPr>
        <w:t>NOTE 3 –</w:t>
      </w:r>
      <w:bookmarkStart w:id="180" w:name="xdx_82F_zkW1nRlVr9s4"/>
      <w:bookmarkEnd w:id="180"/>
      <w:r>
        <w:rPr>
          <w:rFonts w:ascii="Times New Roman;Times;Serif" w:hAnsi="Times New Roman;Times;Serif"/>
          <w:b/>
          <w:i w:val="false"/>
          <w:caps w:val="false"/>
          <w:smallCaps w:val="false"/>
          <w:sz w:val="20"/>
        </w:rPr>
        <w:t>SUMMARY OF SIGNIFICANT ACCOUNTING POLICIES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181" w:name="xdx_844_eus-gaap--BasisOfAccountingPolic"/>
      <w:bookmarkEnd w:id="181"/>
      <w:r>
        <w:rPr>
          <w:rFonts w:ascii="Times New Roman;Times;Serif" w:hAnsi="Times New Roman;Times;Serif"/>
          <w:b/>
          <w:i/>
          <w:caps w:val="false"/>
          <w:smallCaps w:val="false"/>
          <w:sz w:val="20"/>
        </w:rPr>
        <w:t>Basis of Presentation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and related notes are presented in accordance with accounting principles generally accepted in the United States of America (“GAAP”) and are expressed in US dollars. The Company’s fiscal year-end is December 31.</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182" w:name="xdx_84F_eus-gaap--NewAccountingPronounce"/>
      <w:bookmarkEnd w:id="182"/>
      <w:r>
        <w:rPr>
          <w:rFonts w:ascii="Times New Roman;Times;Serif" w:hAnsi="Times New Roman;Times;Serif"/>
          <w:b/>
          <w:i/>
          <w:caps w:val="false"/>
          <w:smallCaps w:val="false"/>
          <w:sz w:val="20"/>
        </w:rPr>
        <w:t>New Accounting Pronouncements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various accounting standards and interpretations issued recently, none of which are expected to have a material impact on our financial position, operations or cash flows.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183" w:name="xdx_848_eus-gaap--UseOfEstimates_z4n0p53"/>
      <w:bookmarkEnd w:id="183"/>
      <w:r>
        <w:rPr>
          <w:rFonts w:ascii="Times New Roman;Times;Serif" w:hAnsi="Times New Roman;Times;Serif"/>
          <w:b/>
          <w:i/>
          <w:caps w:val="false"/>
          <w:smallCaps w:val="false"/>
          <w:sz w:val="20"/>
        </w:rPr>
        <w:t>Use of Estimates and Assumptions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period. Actual results could differ from those estimates.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limited level of operations, the Company has not had to make material assumptions or estimates other than the assumption that the Company is a going concern.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184" w:name="xdx_847_eus-gaap--CashAndCashEquivalents"/>
      <w:bookmarkEnd w:id="184"/>
      <w:r>
        <w:rPr>
          <w:rFonts w:ascii="Times New Roman;Times;Serif" w:hAnsi="Times New Roman;Times;Serif"/>
          <w:b/>
          <w:i/>
          <w:caps w:val="false"/>
          <w:smallCaps w:val="false"/>
          <w:sz w:val="20"/>
        </w:rPr>
        <w:t>Cash and Cash Equivalents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the statement of cash flows, the Company considers all highly liquid instruments purchased with an original maturity of three months or less to be cash equivalents.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185" w:name="xdx_84B_eus-gaap--PolicyLoansReceivableP"/>
      <w:bookmarkEnd w:id="185"/>
      <w:r>
        <w:rPr>
          <w:rFonts w:ascii="Times New Roman;Times;Serif" w:hAnsi="Times New Roman;Times;Serif"/>
          <w:b/>
          <w:i/>
          <w:caps w:val="false"/>
          <w:smallCaps w:val="false"/>
          <w:sz w:val="20"/>
        </w:rPr>
        <w:t>Loans Receivable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Loans receivable represent promissory notes issued to both related and non-related parties. These loans bear fixed interest rates and generally require </w:t>
      </w:r>
      <w:r>
        <w:rPr>
          <w:rFonts w:ascii="Times New Roman;Times;Serif" w:hAnsi="Times New Roman;Times;Serif"/>
          <w:b/>
          <w:i w:val="false"/>
          <w:caps w:val="false"/>
          <w:smallCaps w:val="false"/>
          <w:sz w:val="20"/>
        </w:rPr>
        <w:t xml:space="preserve">monthly interest payments with principal due at maturity. </w:t>
      </w:r>
      <w:r>
        <w:rPr>
          <w:rFonts w:ascii="Times New Roman;Times;Serif" w:hAnsi="Times New Roman;Times;Serif"/>
          <w:b w:val="false"/>
          <w:i w:val="false"/>
          <w:caps w:val="false"/>
          <w:smallCaps w:val="false"/>
          <w:sz w:val="20"/>
        </w:rPr>
        <w:t>Loans are recorded at the principal amount outstanding, net of any allowance for credit losses.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186" w:name="xdx_847_eus-gaap--CreditLossFinancialIns"/>
      <w:bookmarkEnd w:id="186"/>
      <w:r>
        <w:rPr>
          <w:rFonts w:ascii="Times New Roman;Times;Serif" w:hAnsi="Times New Roman;Times;Serif"/>
          <w:b/>
          <w:i/>
          <w:caps w:val="false"/>
          <w:smallCaps w:val="false"/>
          <w:sz w:val="20"/>
        </w:rPr>
        <w:t>Allowance for Credit Losses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expected credit losses in accordance with </w:t>
      </w:r>
      <w:r>
        <w:rPr>
          <w:rFonts w:ascii="Times New Roman;Times;Serif" w:hAnsi="Times New Roman;Times;Serif"/>
          <w:b/>
          <w:i w:val="false"/>
          <w:caps w:val="false"/>
          <w:smallCaps w:val="false"/>
          <w:sz w:val="20"/>
        </w:rPr>
        <w:t xml:space="preserve">ASC 326 – Financial Instruments – Credit Losses (CECL). </w:t>
      </w:r>
      <w:r>
        <w:rPr>
          <w:rFonts w:ascii="Times New Roman;Times;Serif" w:hAnsi="Times New Roman;Times;Serif"/>
          <w:b w:val="false"/>
          <w:i w:val="false"/>
          <w:caps w:val="false"/>
          <w:smallCaps w:val="false"/>
          <w:sz w:val="20"/>
        </w:rPr>
        <w:t xml:space="preserve">Management evaluates the collectability of loans receivable and records an allowance for expected credit losses based on factors including borrower credit quality, loan concentration, economic conditions, and historical repayment experience. As </w:t>
      </w:r>
      <w:r>
        <w:rPr>
          <w:rFonts w:ascii="Times New Roman;Times;Serif" w:hAnsi="Times New Roman;Times;Serif"/>
          <w:b/>
          <w:i w:val="false"/>
          <w:caps w:val="false"/>
          <w:smallCaps w:val="false"/>
          <w:sz w:val="20"/>
        </w:rPr>
        <w:t>of June 30, 2026,</w:t>
      </w:r>
      <w:r>
        <w:rPr>
          <w:rFonts w:ascii="Times New Roman;Times;Serif" w:hAnsi="Times New Roman;Times;Serif"/>
          <w:b w:val="false"/>
          <w:i w:val="false"/>
          <w:caps w:val="false"/>
          <w:smallCaps w:val="false"/>
          <w:sz w:val="20"/>
        </w:rPr>
        <w:t xml:space="preserve"> the Company recorded an </w:t>
      </w:r>
      <w:r>
        <w:rPr>
          <w:rFonts w:ascii="Times New Roman;Times;Serif" w:hAnsi="Times New Roman;Times;Serif"/>
          <w:b/>
          <w:i w:val="false"/>
          <w:caps w:val="false"/>
          <w:smallCaps w:val="false"/>
          <w:sz w:val="20"/>
        </w:rPr>
        <w:t xml:space="preserve">allowance for credit losses equal to approximately </w:t>
      </w:r>
      <w:bookmarkStart w:id="187" w:name="xdx_904_eus-gaap--DebtInstrumentInterest"/>
      <w:bookmarkEnd w:id="187"/>
      <w:r>
        <w:rPr>
          <w:rFonts w:ascii="Times New Roman;Times;Serif" w:hAnsi="Times New Roman;Times;Serif"/>
          <w:b/>
          <w:i w:val="false"/>
          <w:caps w:val="false"/>
          <w:smallCaps w:val="false"/>
          <w:sz w:val="20"/>
        </w:rPr>
        <w:t>3% of outstanding loan balances.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188" w:name="xdx_848_eus-gaap--LesseeLeasesPolicyText"/>
      <w:bookmarkEnd w:id="188"/>
      <w:r>
        <w:rPr>
          <w:rFonts w:ascii="Times New Roman;Times;Serif" w:hAnsi="Times New Roman;Times;Serif"/>
          <w:b/>
          <w:i/>
          <w:caps w:val="false"/>
          <w:smallCaps w:val="false"/>
          <w:sz w:val="20"/>
        </w:rPr>
        <w:t>Leases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leases under </w:t>
      </w:r>
      <w:r>
        <w:rPr>
          <w:rFonts w:ascii="Times New Roman;Times;Serif" w:hAnsi="Times New Roman;Times;Serif"/>
          <w:b/>
          <w:i w:val="false"/>
          <w:caps w:val="false"/>
          <w:smallCaps w:val="false"/>
          <w:sz w:val="20"/>
        </w:rPr>
        <w:t xml:space="preserve">ASC 842, Leases. </w:t>
      </w:r>
      <w:bookmarkStart w:id="189" w:name="xdx_904_eus-gaap--LesseeOperatingLeaseDe"/>
      <w:bookmarkEnd w:id="189"/>
      <w:r>
        <w:rPr>
          <w:rFonts w:ascii="Times New Roman;Times;Serif" w:hAnsi="Times New Roman;Times;Serif"/>
          <w:b w:val="false"/>
          <w:i w:val="false"/>
          <w:caps w:val="false"/>
          <w:smallCaps w:val="false"/>
          <w:sz w:val="20"/>
        </w:rPr>
        <w:t xml:space="preserve">The Company has elected the </w:t>
      </w:r>
      <w:r>
        <w:rPr>
          <w:rFonts w:ascii="Times New Roman;Times;Serif" w:hAnsi="Times New Roman;Times;Serif"/>
          <w:b/>
          <w:i w:val="false"/>
          <w:caps w:val="false"/>
          <w:smallCaps w:val="false"/>
          <w:sz w:val="20"/>
        </w:rPr>
        <w:t>short-term lease exemption</w:t>
      </w:r>
      <w:r>
        <w:rPr>
          <w:rFonts w:ascii="Times New Roman;Times;Serif" w:hAnsi="Times New Roman;Times;Serif"/>
          <w:b w:val="false"/>
          <w:i w:val="false"/>
          <w:caps w:val="false"/>
          <w:smallCaps w:val="false"/>
          <w:sz w:val="20"/>
        </w:rPr>
        <w:t xml:space="preserve"> for leases with a term of twelve months or less. Under this election, right-of-use assets and lease liabilities are not recognized on the balance sheet.</w:t>
      </w:r>
    </w:p>
    <w:p>
      <w:pPr>
        <w:pStyle w:val="TextBody"/>
        <w:bidi w:val="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190" w:name="xdx_847_eus-gaap--FairValueOfFinancialIn"/>
      <w:bookmarkEnd w:id="190"/>
      <w:r>
        <w:rPr>
          <w:rFonts w:ascii="Times New Roman;Times;Serif" w:hAnsi="Times New Roman;Times;Serif"/>
          <w:b/>
          <w:i/>
          <w:caps w:val="false"/>
          <w:smallCaps w:val="false"/>
          <w:sz w:val="20"/>
        </w:rPr>
        <w:t>Fair Value of Financial Instruments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w:t>
      </w:r>
      <w:r>
        <w:rPr>
          <w:rFonts w:ascii="Times New Roman;Times;Serif" w:hAnsi="Times New Roman;Times;Serif"/>
          <w:b w:val="false"/>
          <w:i/>
          <w:caps w:val="false"/>
          <w:smallCaps w:val="false"/>
          <w:sz w:val="20"/>
        </w:rPr>
        <w:t xml:space="preserve">Fair Value Measurements”, </w:t>
      </w:r>
      <w:r>
        <w:rPr>
          <w:rFonts w:ascii="Times New Roman;Times;Serif" w:hAnsi="Times New Roman;Times;Serif"/>
          <w:b w:val="false"/>
          <w:i w:val="false"/>
          <w:caps w:val="false"/>
          <w:smallCaps w:val="false"/>
          <w:sz w:val="20"/>
        </w:rPr>
        <w:t>requires an entity to maximize the use of observable inputs and minimize the use of unobservable inputs when measuring fair value. It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 It prioritizes the inputs into three levels that may be used to measure fair value: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Level 1</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applies to assets or liabilities for which there are quoted prices in active markets for identical assets or liabilities.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Level 2</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applies to assets or liabilities for which there are inputs other than quoted prices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Level 3</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applies to assets or liabilities for which there are unobservable inputs to the valuation methodology that are significant to the measurement of the fair value of the assets or liabilities.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instruments consist principally of cash, accounts receivable, short-term investments, accounts payable and note payable. The respective carrying values of these financial instruments approximate their fair values. Fair value estimates discussed herein are based upon certain market assumptions and pertinent information available to management as of June 30,2026. Fair values were assumed to approximate carrying values for these financial instruments as either they do not have any active market or are short term in nature and therefore their carrying amounts approximate fair value.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191" w:name="xdx_842_eus-gaap--IncomeTaxPolicyTextBlo"/>
      <w:bookmarkEnd w:id="191"/>
      <w:r>
        <w:rPr>
          <w:rFonts w:ascii="Times New Roman;Times;Serif" w:hAnsi="Times New Roman;Times;Serif"/>
          <w:b/>
          <w:i/>
          <w:caps w:val="false"/>
          <w:smallCaps w:val="false"/>
          <w:sz w:val="20"/>
        </w:rPr>
        <w:t>Income Taxes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are determined in accordance with the provisions of ASC 740, “Income Taxes” (“</w:t>
      </w:r>
      <w:r>
        <w:rPr>
          <w:rFonts w:ascii="Times New Roman;Times;Serif" w:hAnsi="Times New Roman;Times;Serif"/>
          <w:b w:val="false"/>
          <w:i/>
          <w:caps w:val="false"/>
          <w:smallCaps w:val="false"/>
          <w:sz w:val="20"/>
        </w:rPr>
        <w:t>ASC 740</w:t>
      </w:r>
      <w:r>
        <w:rPr>
          <w:rFonts w:ascii="Times New Roman;Times;Serif" w:hAnsi="Times New Roman;Times;Serif"/>
          <w:b w:val="false"/>
          <w:i w:val="false"/>
          <w:caps w:val="false"/>
          <w:smallCaps w:val="false"/>
          <w:sz w:val="20"/>
        </w:rPr>
        <w:t>”). Under this method, deferred tax assets and liabilities are recognized for the future tax consequences attributable to differences between the financial statement carrying amounts of existing assets and liabilities and their respective tax basis. Deferred tax assets and liabilities are measured using enacted income tax rates expected to apply to taxable income in the years in which those temporary differences are expected to be recovered or settled. Any effect on deferred tax assets and liabilities of a change in tax rates is recognized in income in the period that includes the enactment date.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ASC 740 prescribes a comprehensive model for how companies should recognize, measure, present, and disclose in their financial statements uncertain tax positions taken or expected to be taken on a tax return. Under ASC 740, tax positions must initially be recognized in the financial statements when it is more likely than not the position will be sustained upon examination by the tax authorities. Such tax positions must initially and subsequently be measured as the largest amount of tax benefit that has </w:t>
      </w:r>
      <w:bookmarkStart w:id="192" w:name="xdx_904_eus-gaap--IncomeTaxExaminationLi"/>
      <w:bookmarkEnd w:id="192"/>
      <w:r>
        <w:rPr>
          <w:rFonts w:ascii="Times New Roman;Times;Serif" w:hAnsi="Times New Roman;Times;Serif"/>
          <w:b w:val="false"/>
          <w:i w:val="false"/>
          <w:caps w:val="false"/>
          <w:smallCaps w:val="false"/>
          <w:sz w:val="20"/>
        </w:rPr>
        <w:t>a greater than 50% likelihood of being realized upon ultimate settlement with the tax authority assuming full knowledge of the position and relevant facts.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period ended June 30, 2026, the Company did </w:t>
      </w:r>
      <w:bookmarkStart w:id="193" w:name="xdx_90C_eus-gaap--IncomeTaxExaminationPe"/>
      <w:bookmarkEnd w:id="193"/>
      <w:r>
        <w:rPr>
          <w:rFonts w:ascii="Times New Roman;Times;Serif" w:hAnsi="Times New Roman;Times;Serif"/>
          <w:b w:val="false"/>
          <w:i w:val="false"/>
          <w:caps w:val="false"/>
          <w:smallCaps w:val="false"/>
          <w:sz w:val="20"/>
        </w:rPr>
        <w:t xml:space="preserve">not have any interest and penalties associated with tax positions. As of June 30, 2026, the Company did </w:t>
      </w:r>
      <w:bookmarkStart w:id="194" w:name="xdx_906_eus-gaap--UnrecognizedTaxBenefit"/>
      <w:bookmarkEnd w:id="194"/>
      <w:r>
        <w:rPr>
          <w:rFonts w:ascii="Times New Roman;Times;Serif" w:hAnsi="Times New Roman;Times;Serif"/>
          <w:b w:val="false"/>
          <w:i w:val="false"/>
          <w:caps w:val="false"/>
          <w:smallCaps w:val="false"/>
          <w:sz w:val="20"/>
        </w:rPr>
        <w:t>not have any significant unrecognized uncertain tax positions.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195" w:name="xdx_842_eus-gaap--CommitmentsAndContinge"/>
      <w:bookmarkEnd w:id="195"/>
      <w:r>
        <w:rPr>
          <w:rFonts w:ascii="Times New Roman;Times;Serif" w:hAnsi="Times New Roman;Times;Serif"/>
          <w:b/>
          <w:i/>
          <w:caps w:val="false"/>
          <w:smallCaps w:val="false"/>
          <w:sz w:val="20"/>
        </w:rPr>
        <w:t>Commitments and Contingencies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ASC 440 &amp;ASC 450, subtopic 450-20 of the FASB Accounting Standards Codification to report accounting for contingencies and commitments respectively. Certain conditions may exist as of the date the financial statements are issued, which may result in a loss to the Company, but which will only be resolved when one or more future events occur or fail to occur. The Company assesses such contingent liabilities, and such assessment inherently involves an exercise of judgment. In assessing loss contingencies related to legal proceedings that are pending against the Company or un-asserted claims that may result in such proceedings, the Company evaluates the perceived merits of any legal proceedings or un-asserted claims as well as the perceived merits of the amount of relief sought or expected to be sought therein.</w:t>
      </w:r>
    </w:p>
    <w:p>
      <w:pPr>
        <w:pStyle w:val="TextBody"/>
        <w:bidi w:val="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assessment of a contingency indicates that it is probable that a material loss has been incurred and the amount of the liability can be estimated, then the estimated liability would be accrued in the Company’s financial statements. If the assessment indicates that a potentially material loss contingency is not probable but is reasonably possible, or is probable but cannot be estimated, then the nature of the contingent liability, and an estimate of the range of possible losses, if determinable and material, would be disclosed.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contingencies considered remote are generally not disclosed unless they involve guarantees, in which case the guarantees would be disclosed. Management does not believe, based upon information available at this time, that these matters will have a material adverse effect on the Company’s financial position, results of operations or cash flows. However, there is no assurance that such matters will not materially and adversely affect the Company’s business, financial position, and results of operations or cash flows.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196" w:name="xdx_842_eus-gaap--IntangibleAssetsFinite"/>
      <w:bookmarkEnd w:id="196"/>
      <w:r>
        <w:rPr>
          <w:rFonts w:ascii="Times New Roman;Times;Serif" w:hAnsi="Times New Roman;Times;Serif"/>
          <w:b/>
          <w:i/>
          <w:caps w:val="false"/>
          <w:smallCaps w:val="false"/>
          <w:sz w:val="20"/>
        </w:rPr>
        <w:t>Intangible Assets – work in progress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incurred during the development of a website are initially recognized as work in progress (WIP) and classified as an intangible asset on the balance sheet. Only costs directly attributable to the website development phase are capitalized. These include salaries and wages for employees directly involved, payments to external developers or consultants, software or tools specifically purchased for the project, and material hosting or domain costs incurred during the development phase. Costs not meeting the criteria for capitalization, such as research expenses, general administrative costs, and ongoing maintenance or upgrades after the website becomes operational, are expensed as incurred.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website remains classified as a work in progress until it is fully developed and ready for its intended use. Once completed, the accumulated costs are transferred to intangible assets and amortized over its estimated useful life, typically ranging from </w:t>
      </w:r>
      <w:bookmarkStart w:id="197" w:name="xdx_901_eus-gaap--FiniteLivedIntangibleA"/>
      <w:bookmarkEnd w:id="197"/>
      <w:r>
        <w:rPr>
          <w:rFonts w:ascii="Times New Roman;Times;Serif" w:hAnsi="Times New Roman;Times;Serif"/>
          <w:b w:val="false"/>
          <w:i w:val="false"/>
          <w:caps w:val="false"/>
          <w:smallCaps w:val="false"/>
          <w:sz w:val="20"/>
        </w:rPr>
        <w:t>3 to</w:t>
      </w:r>
      <w:bookmarkStart w:id="198" w:name="xdx_90F_eus-gaap--FiniteLivedIntangibleA"/>
      <w:bookmarkEnd w:id="198"/>
      <w:r>
        <w:rPr>
          <w:rFonts w:ascii="Times New Roman;Times;Serif" w:hAnsi="Times New Roman;Times;Serif"/>
          <w:b w:val="false"/>
          <w:i w:val="false"/>
          <w:caps w:val="false"/>
          <w:smallCaps w:val="false"/>
          <w:sz w:val="20"/>
        </w:rPr>
        <w:t>5 years, using a straight-line method. The costs capitalized as WIP are reviewed periodically to ensure they are directly related to the development phase.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 in progress is tested for impairment annually or whenever circumstances indicate that the carrying amount may not be recoverable. Any impairment losses identified are recognized in the income statement. Upon completion of the website, its amortization begins, reflecting the consumption of the asset’s benefits over its useful life.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199" w:name="xdx_840_eus-gaap--RevenueFromContractWit"/>
      <w:bookmarkEnd w:id="199"/>
      <w:r>
        <w:rPr>
          <w:rFonts w:ascii="Times New Roman;Times;Serif" w:hAnsi="Times New Roman;Times;Serif"/>
          <w:b/>
          <w:i/>
          <w:caps w:val="false"/>
          <w:smallCaps w:val="false"/>
          <w:sz w:val="20"/>
        </w:rPr>
        <w:t>Revenue Recognition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when earned at the fair value of the consideration received or receivable.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Interest Income is recognized upon loaning the money to the customer and is accrued on a monthly basis at the rate of </w:t>
      </w:r>
      <w:bookmarkStart w:id="200" w:name="xdx_90D_ecustom--PercentageOfSimpleInter"/>
      <w:bookmarkEnd w:id="200"/>
      <w:r>
        <w:rPr>
          <w:rFonts w:ascii="Times New Roman;Times;Serif" w:hAnsi="Times New Roman;Times;Serif"/>
          <w:b w:val="false"/>
          <w:i w:val="false"/>
          <w:caps w:val="false"/>
          <w:smallCaps w:val="false"/>
          <w:sz w:val="20"/>
        </w:rPr>
        <w:t>2% simple interest on the loan amount receivable from the customer.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from other investment activities is generated through various short-term alternative investment activities as seem profitable to the management and income from such activities is recognized when earned.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place is a digital platform for buyers and sellers. The platform’s primary performance obligation is to facilitate transactions by providing a marketplace for buyers and sellers. This includes enabling the listing of goods/services, facilitating payment processing, and providing customer support. Income is recognized on a net basis, representing only the fee or commission earned, when the platform satisfies its performance obligation by successfully facilitating the transaction. This generally occurs when the buyer’s payment is processed and the platform’s role in the transaction is complete.</w:t>
      </w:r>
    </w:p>
    <w:p>
      <w:pPr>
        <w:pStyle w:val="TextBody"/>
        <w:bidi w:val="0"/>
        <w:jc w:val="left"/>
        <w:rPr>
          <w:caps w:val="false"/>
          <w:smallCaps w:val="false"/>
        </w:rPr>
      </w:pPr>
      <w:bookmarkStart w:id="201" w:name="xdx_858_zRGfJMl5ln81"/>
      <w:bookmarkEnd w:id="201"/>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02" w:name="xdx_809_eus-gaap--StockholdersEquityNote"/>
      <w:bookmarkEnd w:id="202"/>
      <w:r>
        <w:rPr>
          <w:rFonts w:ascii="Times New Roman;Times;Serif" w:hAnsi="Times New Roman;Times;Serif"/>
          <w:b/>
          <w:i w:val="false"/>
          <w:caps w:val="false"/>
          <w:smallCaps w:val="false"/>
          <w:sz w:val="20"/>
        </w:rPr>
        <w:t>NOTE 4 –</w:t>
      </w:r>
      <w:bookmarkStart w:id="203" w:name="xdx_820_z5Qv5cutVfO8"/>
      <w:bookmarkEnd w:id="203"/>
      <w:r>
        <w:rPr>
          <w:rFonts w:ascii="Times New Roman;Times;Serif" w:hAnsi="Times New Roman;Times;Serif"/>
          <w:b/>
          <w:i w:val="false"/>
          <w:caps w:val="false"/>
          <w:smallCaps w:val="false"/>
          <w:sz w:val="20"/>
        </w:rPr>
        <w:t>COMMON STOCK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common stock outstanding of </w:t>
      </w:r>
      <w:bookmarkStart w:id="204" w:name="xdx_908_eus-gaap--CommonStockSharesOutst"/>
      <w:bookmarkEnd w:id="204"/>
      <w:r>
        <w:rPr>
          <w:rFonts w:ascii="Times New Roman;Times;Serif" w:hAnsi="Times New Roman;Times;Serif"/>
          <w:b w:val="false"/>
          <w:i w:val="false"/>
          <w:caps w:val="false"/>
          <w:smallCaps w:val="false"/>
          <w:sz w:val="20"/>
        </w:rPr>
        <w:t xml:space="preserve">182,289,904 as of June 30, 2026 and record of holders was </w:t>
      </w:r>
      <w:bookmarkStart w:id="205" w:name="xdx_90F_ecustom--CommonStockRecordHolder"/>
      <w:bookmarkEnd w:id="205"/>
      <w:r>
        <w:rPr>
          <w:rFonts w:ascii="Times New Roman;Times;Serif" w:hAnsi="Times New Roman;Times;Serif"/>
          <w:b w:val="false"/>
          <w:i w:val="false"/>
          <w:caps w:val="false"/>
          <w:smallCaps w:val="false"/>
          <w:sz w:val="20"/>
        </w:rPr>
        <w:t>204.</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06" w:name="xdx_805_eus-gaap--LoansNotesTradeAndOthe"/>
      <w:bookmarkEnd w:id="206"/>
      <w:r>
        <w:rPr>
          <w:rFonts w:ascii="Times New Roman;Times;Serif" w:hAnsi="Times New Roman;Times;Serif"/>
          <w:b/>
          <w:i w:val="false"/>
          <w:caps w:val="false"/>
          <w:smallCaps w:val="false"/>
          <w:sz w:val="20"/>
        </w:rPr>
        <w:t>NOTE 5 –</w:t>
      </w:r>
      <w:bookmarkStart w:id="207" w:name="xdx_826_zAUboin0mGKd"/>
      <w:bookmarkEnd w:id="207"/>
      <w:r>
        <w:rPr>
          <w:rFonts w:ascii="Times New Roman;Times;Serif" w:hAnsi="Times New Roman;Times;Serif"/>
          <w:b/>
          <w:i w:val="false"/>
          <w:caps w:val="false"/>
          <w:smallCaps w:val="false"/>
          <w:sz w:val="20"/>
        </w:rPr>
        <w:t>LOAN RECEIVABLE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Loans receivable represent funds advanced by the Company pursuant to executed promissory notes. The loans accrue interest monthly, are interest only, unsecured and all mature </w:t>
      </w:r>
      <w:bookmarkStart w:id="208" w:name="xdx_902_eus-gaap--DebtInstrumentMaturity"/>
      <w:bookmarkEnd w:id="208"/>
      <w:r>
        <w:rPr>
          <w:rFonts w:ascii="Times New Roman;Times;Serif" w:hAnsi="Times New Roman;Times;Serif"/>
          <w:b w:val="false"/>
          <w:i w:val="false"/>
          <w:caps w:val="false"/>
          <w:smallCaps w:val="false"/>
          <w:sz w:val="20"/>
        </w:rPr>
        <w:t xml:space="preserve">December 31, 2026. As of </w:t>
      </w:r>
      <w:r>
        <w:rPr>
          <w:rFonts w:ascii="Times New Roman;Times;Serif" w:hAnsi="Times New Roman;Times;Serif"/>
          <w:b/>
          <w:i w:val="false"/>
          <w:caps w:val="false"/>
          <w:smallCaps w:val="false"/>
          <w:sz w:val="20"/>
        </w:rPr>
        <w:t>June 30, 2026</w:t>
      </w:r>
      <w:r>
        <w:rPr>
          <w:rFonts w:ascii="Times New Roman;Times;Serif" w:hAnsi="Times New Roman;Times;Serif"/>
          <w:b w:val="false"/>
          <w:i w:val="false"/>
          <w:caps w:val="false"/>
          <w:smallCaps w:val="false"/>
          <w:sz w:val="20"/>
        </w:rPr>
        <w:t>, all loans were current.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Loans Receivable: $</w:t>
      </w:r>
      <w:bookmarkStart w:id="209" w:name="xdx_901_eus-gaap--NotesAndLoansReceivabl"/>
      <w:bookmarkEnd w:id="209"/>
      <w:r>
        <w:rPr>
          <w:rFonts w:ascii="Times New Roman;Times;Serif" w:hAnsi="Times New Roman;Times;Serif"/>
          <w:b/>
          <w:i w:val="false"/>
          <w:caps w:val="false"/>
          <w:smallCaps w:val="false"/>
          <w:sz w:val="20"/>
        </w:rPr>
        <w:t>2,734,080</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10" w:name="xdx_80D_eus-gaap--AllowanceForCreditLoss"/>
      <w:bookmarkEnd w:id="210"/>
      <w:r>
        <w:rPr>
          <w:rFonts w:ascii="Times New Roman;Times;Serif" w:hAnsi="Times New Roman;Times;Serif"/>
          <w:b/>
          <w:i w:val="false"/>
          <w:caps w:val="false"/>
          <w:smallCaps w:val="false"/>
          <w:sz w:val="20"/>
        </w:rPr>
        <w:t>NOTE 6 –</w:t>
      </w:r>
      <w:bookmarkStart w:id="211" w:name="xdx_820_zBXsPPh2eIy4"/>
      <w:bookmarkEnd w:id="211"/>
      <w:r>
        <w:rPr>
          <w:rFonts w:ascii="Times New Roman;Times;Serif" w:hAnsi="Times New Roman;Times;Serif"/>
          <w:b/>
          <w:i w:val="false"/>
          <w:caps w:val="false"/>
          <w:smallCaps w:val="false"/>
          <w:sz w:val="20"/>
        </w:rPr>
        <w:t>ALLOWANCE FOR CREDIT LOSSES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expected credit losses in accordance with </w:t>
      </w:r>
      <w:r>
        <w:rPr>
          <w:rFonts w:ascii="Times New Roman;Times;Serif" w:hAnsi="Times New Roman;Times;Serif"/>
          <w:b/>
          <w:i w:val="false"/>
          <w:caps w:val="false"/>
          <w:smallCaps w:val="false"/>
          <w:sz w:val="20"/>
        </w:rPr>
        <w:t xml:space="preserve">ASC 326 – Financial Instruments – Credit Losses (CECL). </w:t>
      </w:r>
      <w:r>
        <w:rPr>
          <w:rFonts w:ascii="Times New Roman;Times;Serif" w:hAnsi="Times New Roman;Times;Serif"/>
          <w:b w:val="false"/>
          <w:i w:val="false"/>
          <w:caps w:val="false"/>
          <w:smallCaps w:val="false"/>
          <w:sz w:val="20"/>
        </w:rPr>
        <w:t xml:space="preserve">Management evaluates the collectability of loans receivable and records an allowance for expected credit losses based on factors including borrower credit quality, loan concentration, economic conditions, and historical repayment experience. As </w:t>
      </w:r>
      <w:r>
        <w:rPr>
          <w:rFonts w:ascii="Times New Roman;Times;Serif" w:hAnsi="Times New Roman;Times;Serif"/>
          <w:b/>
          <w:i w:val="false"/>
          <w:caps w:val="false"/>
          <w:smallCaps w:val="false"/>
          <w:sz w:val="20"/>
        </w:rPr>
        <w:t>of June 30, 2026,</w:t>
      </w:r>
      <w:r>
        <w:rPr>
          <w:rFonts w:ascii="Times New Roman;Times;Serif" w:hAnsi="Times New Roman;Times;Serif"/>
          <w:b w:val="false"/>
          <w:i w:val="false"/>
          <w:caps w:val="false"/>
          <w:smallCaps w:val="false"/>
          <w:sz w:val="20"/>
        </w:rPr>
        <w:t xml:space="preserve"> the Company recorded an </w:t>
      </w:r>
      <w:r>
        <w:rPr>
          <w:rFonts w:ascii="Times New Roman;Times;Serif" w:hAnsi="Times New Roman;Times;Serif"/>
          <w:b/>
          <w:i w:val="false"/>
          <w:caps w:val="false"/>
          <w:smallCaps w:val="false"/>
          <w:sz w:val="20"/>
        </w:rPr>
        <w:t xml:space="preserve">allowance for credit losses equal to approximately </w:t>
      </w:r>
      <w:bookmarkStart w:id="212" w:name="xdx_903_eus-gaap--DebtInstrumentInterest"/>
      <w:bookmarkEnd w:id="212"/>
      <w:r>
        <w:rPr>
          <w:rFonts w:ascii="Times New Roman;Times;Serif" w:hAnsi="Times New Roman;Times;Serif"/>
          <w:b/>
          <w:i w:val="false"/>
          <w:caps w:val="false"/>
          <w:smallCaps w:val="false"/>
          <w:sz w:val="20"/>
        </w:rPr>
        <w:t>3% of outstanding loan balances.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13" w:name="xdx_804_ecustom--CreditQualityIndicators"/>
      <w:bookmarkEnd w:id="213"/>
      <w:r>
        <w:rPr>
          <w:rFonts w:ascii="Times New Roman;Times;Serif" w:hAnsi="Times New Roman;Times;Serif"/>
          <w:b/>
          <w:i w:val="false"/>
          <w:caps w:val="false"/>
          <w:smallCaps w:val="false"/>
          <w:sz w:val="20"/>
        </w:rPr>
        <w:t>NOTE 7 –</w:t>
      </w:r>
      <w:bookmarkStart w:id="214" w:name="xdx_82B_zfVbHiX7oVpc"/>
      <w:bookmarkEnd w:id="214"/>
      <w:r>
        <w:rPr>
          <w:rFonts w:ascii="Times New Roman;Times;Serif" w:hAnsi="Times New Roman;Times;Serif"/>
          <w:b/>
          <w:i w:val="false"/>
          <w:caps w:val="false"/>
          <w:smallCaps w:val="false"/>
          <w:sz w:val="20"/>
        </w:rPr>
        <w:t>CREDIT QUALITY INDICATORS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monitors borrower credit quality through payment history, borrower financial condition and compliance with loan terms. As of June 30, 2026 all loans were performing.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15" w:name="xdx_802_ecustom--NonaccrualAndPastDueLoa"/>
      <w:bookmarkEnd w:id="215"/>
      <w:r>
        <w:rPr>
          <w:rFonts w:ascii="Times New Roman;Times;Serif" w:hAnsi="Times New Roman;Times;Serif"/>
          <w:b/>
          <w:i w:val="false"/>
          <w:caps w:val="false"/>
          <w:smallCaps w:val="false"/>
          <w:sz w:val="20"/>
        </w:rPr>
        <w:t>NOTE 8 –</w:t>
      </w:r>
      <w:bookmarkStart w:id="216" w:name="xdx_82D_z5aix0pnweB7"/>
      <w:bookmarkEnd w:id="216"/>
      <w:r>
        <w:rPr>
          <w:rFonts w:ascii="Times New Roman;Times;Serif" w:hAnsi="Times New Roman;Times;Serif"/>
          <w:b/>
          <w:i w:val="false"/>
          <w:caps w:val="false"/>
          <w:smallCaps w:val="false"/>
          <w:sz w:val="20"/>
        </w:rPr>
        <w:t>NONACCRUAL AND PAST DUE LOANS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places loans on nonaccrual status when collection is uncertain. As of June 30, 2026 no loans were past due, impaired or on nonaccrual status.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17" w:name="xdx_807_eus-gaap--DebtDisclosureTextBloc"/>
      <w:bookmarkEnd w:id="217"/>
      <w:r>
        <w:rPr>
          <w:rFonts w:ascii="Times New Roman;Times;Serif" w:hAnsi="Times New Roman;Times;Serif"/>
          <w:b/>
          <w:i w:val="false"/>
          <w:caps w:val="false"/>
          <w:smallCaps w:val="false"/>
          <w:sz w:val="20"/>
        </w:rPr>
        <w:t>NOTE 9 –</w:t>
      </w:r>
      <w:bookmarkStart w:id="218" w:name="xdx_829_zyhHxjoQ0fif"/>
      <w:bookmarkEnd w:id="218"/>
      <w:r>
        <w:rPr>
          <w:rFonts w:ascii="Times New Roman;Times;Serif" w:hAnsi="Times New Roman;Times;Serif"/>
          <w:b/>
          <w:i w:val="false"/>
          <w:caps w:val="false"/>
          <w:smallCaps w:val="false"/>
          <w:sz w:val="20"/>
        </w:rPr>
        <w:t>NOTES PAYABLE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Notes payable represent borrowings entered into by the Company to support working capital and operational needs. Notes payable bear fixed interest rates and have defined maturity dates as outlined in the underlying agreements. As of </w:t>
      </w:r>
      <w:r>
        <w:rPr>
          <w:rFonts w:ascii="Times New Roman;Times;Serif" w:hAnsi="Times New Roman;Times;Serif"/>
          <w:b/>
          <w:i w:val="false"/>
          <w:caps w:val="false"/>
          <w:smallCaps w:val="false"/>
          <w:sz w:val="20"/>
        </w:rPr>
        <w:t>June 30, 2026,</w:t>
      </w:r>
      <w:r>
        <w:rPr>
          <w:rFonts w:ascii="Times New Roman;Times;Serif" w:hAnsi="Times New Roman;Times;Serif"/>
          <w:b w:val="false"/>
          <w:i w:val="false"/>
          <w:caps w:val="false"/>
          <w:smallCaps w:val="false"/>
          <w:sz w:val="20"/>
        </w:rPr>
        <w:t xml:space="preserve"> notes payables were $</w:t>
      </w:r>
      <w:bookmarkStart w:id="219" w:name="xdx_909_eus-gaap--NotesPayableCurrent_iI"/>
      <w:bookmarkEnd w:id="219"/>
      <w:r>
        <w:rPr>
          <w:rFonts w:ascii="Times New Roman;Times;Serif" w:hAnsi="Times New Roman;Times;Serif"/>
          <w:b w:val="false"/>
          <w:i w:val="false"/>
          <w:caps w:val="false"/>
          <w:smallCaps w:val="false"/>
          <w:sz w:val="20"/>
        </w:rPr>
        <w:t>2,818,670.</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20" w:name="xdx_800_eus-gaap--RelatedPartyTransactio"/>
      <w:bookmarkEnd w:id="220"/>
      <w:r>
        <w:rPr>
          <w:rFonts w:ascii="Times New Roman;Times;Serif" w:hAnsi="Times New Roman;Times;Serif"/>
          <w:b/>
          <w:i w:val="false"/>
          <w:caps w:val="false"/>
          <w:smallCaps w:val="false"/>
          <w:sz w:val="20"/>
        </w:rPr>
        <w:t>NOTE 10 –</w:t>
      </w:r>
      <w:bookmarkStart w:id="221" w:name="xdx_826_zMzU2zTZry88"/>
      <w:bookmarkEnd w:id="221"/>
      <w:r>
        <w:rPr>
          <w:rFonts w:ascii="Times New Roman;Times;Serif" w:hAnsi="Times New Roman;Times;Serif"/>
          <w:b/>
          <w:i w:val="false"/>
          <w:caps w:val="false"/>
          <w:smallCaps w:val="false"/>
          <w:sz w:val="20"/>
        </w:rPr>
        <w:t>RELATED PARTY TRANSACTIONS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loans receivable and notes payable involve entities affiliated with the Company’s Chief Executive Officer. These transactions are conducted pursuant to written promissory notes and formal lending agreements that specify principal amounts, interest rates, repayment terms, and other customary provisions.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the same underwriting standards, credit evaluation procedures, and approval processes to related-party transactions as it does to loans issued to unrelated third parties. Management evaluates borrower creditworthiness, repayment capacity, and other relevant risk factors prior to extending credit.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rates, repayment terms, and other contractual provisions associated with these related-party transactions are consistent with the Company’s general lending practices and are believed to be comparable to terms that would be obtained in similar transactions with unaffiliated borrowers. Management believes these transactions were entered into on commercially reasonable terms and in the ordinary course of business.</w:t>
      </w:r>
    </w:p>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Related Party -$</w:t>
      </w:r>
      <w:bookmarkStart w:id="222" w:name="xdx_905_eus-gaap--OtherLiabilities_iI_c2"/>
      <w:bookmarkEnd w:id="222"/>
      <w:r>
        <w:rPr>
          <w:rFonts w:ascii="Times New Roman;Times;Serif" w:hAnsi="Times New Roman;Times;Serif"/>
          <w:b/>
          <w:i w:val="false"/>
          <w:caps w:val="false"/>
          <w:smallCaps w:val="false"/>
          <w:sz w:val="20"/>
        </w:rPr>
        <w:t>1,742,080</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23" w:name="xdx_80E_eus-gaap--ResearchDevelopmentAnd"/>
      <w:bookmarkEnd w:id="223"/>
      <w:r>
        <w:rPr>
          <w:rFonts w:ascii="Times New Roman;Times;Serif" w:hAnsi="Times New Roman;Times;Serif"/>
          <w:b/>
          <w:i w:val="false"/>
          <w:caps w:val="false"/>
          <w:smallCaps w:val="false"/>
          <w:sz w:val="20"/>
        </w:rPr>
        <w:t>NOTE 11-</w:t>
      </w:r>
      <w:bookmarkStart w:id="224" w:name="xdx_82C_zPB5Yuzprfua"/>
      <w:bookmarkEnd w:id="224"/>
      <w:r>
        <w:rPr>
          <w:rFonts w:ascii="Times New Roman;Times;Serif" w:hAnsi="Times New Roman;Times;Serif"/>
          <w:b/>
          <w:i w:val="false"/>
          <w:caps w:val="false"/>
          <w:smallCaps w:val="false"/>
          <w:sz w:val="20"/>
        </w:rPr>
        <w:t>RESEARCH AND DEVELOPMENT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incurred research and development expenses related to the development of the </w:t>
      </w:r>
      <w:r>
        <w:rPr>
          <w:rFonts w:ascii="Times New Roman;Times;Serif" w:hAnsi="Times New Roman;Times;Serif"/>
          <w:b/>
          <w:i w:val="false"/>
          <w:caps w:val="false"/>
          <w:smallCaps w:val="false"/>
          <w:sz w:val="20"/>
        </w:rPr>
        <w:t>PawnTrust digital marketplace.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25" w:name="xdx_801_eus-gaap--IntangibleAssetsDisclo"/>
      <w:bookmarkEnd w:id="225"/>
      <w:r>
        <w:rPr>
          <w:rFonts w:ascii="Times New Roman;Times;Serif" w:hAnsi="Times New Roman;Times;Serif"/>
          <w:b/>
          <w:i w:val="false"/>
          <w:caps w:val="false"/>
          <w:smallCaps w:val="false"/>
          <w:sz w:val="20"/>
        </w:rPr>
        <w:t>NOTE 12-</w:t>
      </w:r>
      <w:bookmarkStart w:id="226" w:name="xdx_827_zjxS9yaGwCA"/>
      <w:bookmarkEnd w:id="226"/>
      <w:r>
        <w:rPr>
          <w:rFonts w:ascii="Times New Roman;Times;Serif" w:hAnsi="Times New Roman;Times;Serif"/>
          <w:b/>
          <w:i w:val="false"/>
          <w:caps w:val="false"/>
          <w:smallCaps w:val="false"/>
          <w:sz w:val="20"/>
        </w:rPr>
        <w:t>INTELLECTUAL PROPERTY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developing proprietary intellectual property associated with the PawnTrust marketplace.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27" w:name="xdx_80F_eus-gaap--LesseeOperatingLeasesT"/>
      <w:bookmarkEnd w:id="227"/>
      <w:r>
        <w:rPr>
          <w:rFonts w:ascii="Times New Roman;Times;Serif" w:hAnsi="Times New Roman;Times;Serif"/>
          <w:b/>
          <w:i w:val="false"/>
          <w:caps w:val="false"/>
          <w:smallCaps w:val="false"/>
          <w:sz w:val="20"/>
        </w:rPr>
        <w:t>NOTE 13-</w:t>
      </w:r>
      <w:bookmarkStart w:id="228" w:name="xdx_820_zn8dGQcWL6xj"/>
      <w:bookmarkEnd w:id="228"/>
      <w:r>
        <w:rPr>
          <w:rFonts w:ascii="Times New Roman;Times;Serif" w:hAnsi="Times New Roman;Times;Serif"/>
          <w:b/>
          <w:i w:val="false"/>
          <w:caps w:val="false"/>
          <w:smallCaps w:val="false"/>
          <w:sz w:val="20"/>
        </w:rPr>
        <w:t>LEASES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leases office space located in </w:t>
      </w:r>
      <w:r>
        <w:rPr>
          <w:rFonts w:ascii="Times New Roman;Times;Serif" w:hAnsi="Times New Roman;Times;Serif"/>
          <w:b/>
          <w:i w:val="false"/>
          <w:caps w:val="false"/>
          <w:smallCaps w:val="false"/>
          <w:sz w:val="20"/>
        </w:rPr>
        <w:t>Marietta, Georgia</w:t>
      </w:r>
      <w:r>
        <w:rPr>
          <w:rFonts w:ascii="Times New Roman;Times;Serif" w:hAnsi="Times New Roman;Times;Serif"/>
          <w:b w:val="false"/>
          <w:i w:val="false"/>
          <w:caps w:val="false"/>
          <w:smallCaps w:val="false"/>
          <w:sz w:val="20"/>
        </w:rPr>
        <w:t xml:space="preserve">. The lease term is </w:t>
      </w:r>
      <w:r>
        <w:rPr>
          <w:rFonts w:ascii="Times New Roman;Times;Serif" w:hAnsi="Times New Roman;Times;Serif"/>
          <w:b/>
          <w:i w:val="false"/>
          <w:caps w:val="false"/>
          <w:smallCaps w:val="false"/>
          <w:sz w:val="20"/>
        </w:rPr>
        <w:t>twelve months,</w:t>
      </w:r>
      <w:r>
        <w:rPr>
          <w:rFonts w:ascii="Times New Roman;Times;Serif" w:hAnsi="Times New Roman;Times;Serif"/>
          <w:b w:val="false"/>
          <w:i w:val="false"/>
          <w:caps w:val="false"/>
          <w:smallCaps w:val="false"/>
          <w:sz w:val="20"/>
        </w:rPr>
        <w:t xml:space="preserve"> with monthly rent of </w:t>
      </w:r>
      <w:r>
        <w:rPr>
          <w:rFonts w:ascii="Times New Roman;Times;Serif" w:hAnsi="Times New Roman;Times;Serif"/>
          <w:b/>
          <w:i w:val="false"/>
          <w:caps w:val="false"/>
          <w:smallCaps w:val="false"/>
          <w:sz w:val="20"/>
        </w:rPr>
        <w:t>$</w:t>
      </w:r>
      <w:bookmarkStart w:id="229" w:name="xdx_90A_eus-gaap--PaymentsForRent_c20260"/>
      <w:bookmarkEnd w:id="229"/>
      <w:r>
        <w:rPr>
          <w:rFonts w:ascii="Times New Roman;Times;Serif" w:hAnsi="Times New Roman;Times;Serif"/>
          <w:b/>
          <w:i w:val="false"/>
          <w:caps w:val="false"/>
          <w:smallCaps w:val="false"/>
          <w:sz w:val="20"/>
        </w:rPr>
        <w:t xml:space="preserve">500, </w:t>
      </w:r>
      <w:r>
        <w:rPr>
          <w:rFonts w:ascii="Times New Roman;Times;Serif" w:hAnsi="Times New Roman;Times;Serif"/>
          <w:b w:val="false"/>
          <w:i w:val="false"/>
          <w:caps w:val="false"/>
          <w:smallCaps w:val="false"/>
          <w:sz w:val="20"/>
        </w:rPr>
        <w:t xml:space="preserve">resulting in annual lease payments of approximately </w:t>
      </w:r>
      <w:r>
        <w:rPr>
          <w:rFonts w:ascii="Times New Roman;Times;Serif" w:hAnsi="Times New Roman;Times;Serif"/>
          <w:b/>
          <w:i w:val="false"/>
          <w:caps w:val="false"/>
          <w:smallCaps w:val="false"/>
          <w:sz w:val="20"/>
        </w:rPr>
        <w:t>$</w:t>
      </w:r>
      <w:bookmarkStart w:id="230" w:name="xdx_907_eus-gaap--LeaseCost_c20260101__2"/>
      <w:bookmarkEnd w:id="230"/>
      <w:r>
        <w:rPr>
          <w:rFonts w:ascii="Times New Roman;Times;Serif" w:hAnsi="Times New Roman;Times;Serif"/>
          <w:b/>
          <w:i w:val="false"/>
          <w:caps w:val="false"/>
          <w:smallCaps w:val="false"/>
          <w:sz w:val="20"/>
        </w:rPr>
        <w:t xml:space="preserve">6,000. </w:t>
      </w:r>
      <w:r>
        <w:rPr>
          <w:rFonts w:ascii="Times New Roman;Times;Serif" w:hAnsi="Times New Roman;Times;Serif"/>
          <w:b w:val="false"/>
          <w:i w:val="false"/>
          <w:caps w:val="false"/>
          <w:smallCaps w:val="false"/>
          <w:sz w:val="20"/>
        </w:rPr>
        <w:t xml:space="preserve">The Company has elected the </w:t>
      </w:r>
      <w:r>
        <w:rPr>
          <w:rFonts w:ascii="Times New Roman;Times;Serif" w:hAnsi="Times New Roman;Times;Serif"/>
          <w:b/>
          <w:i w:val="false"/>
          <w:caps w:val="false"/>
          <w:smallCaps w:val="false"/>
          <w:sz w:val="20"/>
        </w:rPr>
        <w:t xml:space="preserve">short-term lease exemption under ASC 842, </w:t>
      </w:r>
      <w:r>
        <w:rPr>
          <w:rFonts w:ascii="Times New Roman;Times;Serif" w:hAnsi="Times New Roman;Times;Serif"/>
          <w:b w:val="false"/>
          <w:i w:val="false"/>
          <w:caps w:val="false"/>
          <w:smallCaps w:val="false"/>
          <w:sz w:val="20"/>
        </w:rPr>
        <w:t>and therefore does not recognize right-of-use assets or lease liabilities for this lease. Rent expense is recognized as incurred.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31" w:name="xdx_804_eus-gaap--SegmentReportingDisclo"/>
      <w:bookmarkEnd w:id="231"/>
      <w:r>
        <w:rPr>
          <w:rFonts w:ascii="Times New Roman;Times;Serif" w:hAnsi="Times New Roman;Times;Serif"/>
          <w:b/>
          <w:i w:val="false"/>
          <w:caps w:val="false"/>
          <w:smallCaps w:val="false"/>
          <w:sz w:val="20"/>
        </w:rPr>
        <w:t>NOTE 14 –</w:t>
      </w:r>
      <w:bookmarkStart w:id="232" w:name="xdx_821_zZwq8glWwaok"/>
      <w:bookmarkEnd w:id="232"/>
      <w:r>
        <w:rPr>
          <w:rFonts w:ascii="Times New Roman;Times;Serif" w:hAnsi="Times New Roman;Times;Serif"/>
          <w:b/>
          <w:i w:val="false"/>
          <w:caps w:val="false"/>
          <w:smallCaps w:val="false"/>
          <w:sz w:val="20"/>
        </w:rPr>
        <w:t>SEGMENT REPORTING (ASC 280)</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operates as </w:t>
      </w:r>
      <w:bookmarkStart w:id="233" w:name="xdx_902_eus-gaap--NumberOfReportableSegm"/>
      <w:bookmarkEnd w:id="233"/>
      <w:r>
        <w:rPr>
          <w:rFonts w:ascii="Times New Roman;Times;Serif" w:hAnsi="Times New Roman;Times;Serif"/>
          <w:b/>
          <w:i w:val="false"/>
          <w:caps w:val="false"/>
          <w:smallCaps w:val="false"/>
          <w:sz w:val="20"/>
        </w:rPr>
        <w:t>one reportable segment.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34" w:name="xdx_807_eus-gaap--SubsequentEventsTextBl"/>
      <w:bookmarkEnd w:id="234"/>
      <w:r>
        <w:rPr>
          <w:rFonts w:ascii="Times New Roman;Times;Serif" w:hAnsi="Times New Roman;Times;Serif"/>
          <w:b/>
          <w:i w:val="false"/>
          <w:caps w:val="false"/>
          <w:smallCaps w:val="false"/>
          <w:sz w:val="20"/>
        </w:rPr>
        <w:t>NOTE 15 -</w:t>
      </w:r>
      <w:bookmarkStart w:id="235" w:name="xdx_82D_zq3jACQDG5U5"/>
      <w:bookmarkEnd w:id="235"/>
      <w:r>
        <w:rPr>
          <w:rFonts w:ascii="Times New Roman;Times;Serif" w:hAnsi="Times New Roman;Times;Serif"/>
          <w:b/>
          <w:i w:val="false"/>
          <w:caps w:val="false"/>
          <w:smallCaps w:val="false"/>
          <w:sz w:val="20"/>
        </w:rPr>
        <w:t>SUBSEQUENT EVENTS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other subsequent events till the date these financial statements were issued and has determined that there are no items to disclose.</w:t>
      </w:r>
    </w:p>
    <w:p>
      <w:pPr>
        <w:pStyle w:val="TextBody"/>
        <w:bidi w:val="0"/>
        <w:jc w:val="center"/>
        <w:rPr>
          <w:caps w:val="false"/>
          <w:smallCaps w:val="false"/>
        </w:rPr>
      </w:pPr>
      <w:bookmarkStart w:id="236" w:name="xdx_81E_z39fMVUcjQIe"/>
      <w:bookmarkEnd w:id="236"/>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37" w:name="Aa_008"/>
      <w:bookmarkEnd w:id="237"/>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OF OUR PLAN OF OPERATION AND RESULTS OF OPERATIONS SHOULD BE READ IN CONJUNCTION WITH THE FINANCIAL STATEMENTS AND RELATED NOTES TO THE FINANCIAL STATEMENTS INCLUDED ELSEWHERE IN THIS REPORT.</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CONTAINS FORWARD-LOOKING STATEMENTS THAT RELATE TO FUTURE EVENTS OR OUR FUTURE FINANCIAL PERFORMANCE. THESE STATEMENTS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THESE FORWARD-LOOKING STATEMENTS ARE SUBJECT TO NUMEROUS RISKS AND UNCERTAINTIES, INCLUDING OUR ABILITY TO COMMERCIALIZE NEW PRODUCTS, HIRE AND RETAIN KEY PERSONNEL, AND SECURE SUFFICIENT FUNDING TO EXECUTE OUR GROWTH PLAN. IF OUR ASSUMPTIONS REGARDING PLANNED EXPENDITURES OR REVENUE GENERATION PROVE INACCURATE, WE MAY NEED TO ADJUST OUR STRATEGIC TIMELINE OR RESOURCE ALLOCATION,WHILE WE BELIEVE THESE PATENTS PROVIDE MEANINGFUL PROTECTION FOR CERTAIN ASPECTS OF OUR TECHNOLOGY, THERE IS NO GUARANTEE THAT THEY WILL PREVENT ALL COMPETITORS FROM DEVELOPING SIMILAR PRODUCTS, FAILURE TO COMPLY WITH THE FAMILY EDUCATIONAL RIGHTS AND PRIVACY ACT (“FERPA”) COULD LIMIT OR DELAY OUR ABILITY TO DEPLOY SAFESCHOOL™ IN CERTAIN JURISDICTIONS, IMPACT CUSTOMER ADOPTION, OR EXPOSE THE COMPANY TO REGULATORY RISK AND OTHER FACTORS INCLUDE, AMONG OTHERS, THOSE LISTED UNDER “FORWARD-LOOKING STATEMENTS” AND “RISK FACTORS” AND THOSE INCLUDED ELSEWHERE IN THIS REPORT.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Overview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was incorporated in the State of Nevada in 2002 as Simplagene USA Inc. and was known by that name until 2005. The Company operated as Dinewise Inc. until March 2025 when it changed its name to Superstar Platforms Inc. Superstar Platforms, will be a leading national technology conglomerate that will control a diversified portfolio of subsidiaries across various industries. The Company’s business strategy includes the development of technology platforms, strategic capital deployment, and potential acquisitions intended to expand the Company’s operations. The Company currently owns and is developing the PawnTrust marketplace platform, which is designed to enable pawn shops to digitize inventory and facilitate borrowing, buying, and bartering transactions through a mobile-based marketplace. In addition to its platform development activities, the Company has entered into promissory note arrangements with both related and non-related parties. These notes bear fixed interest rates and represent the Company’s primary source of revenue during the current stage of operations.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Company’s principal assets consist primarily of loans receivable bearing contractual interest rates and maturing on December 31, 2026. The Company accrues interest income on these notes in accordance with the terms of the underlying agreements.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qualifies as a “smaller reporting company” as defined in Section 10(f) of Regulation S-K(17 C.F.R. § 229.10) as one that has a public float of less than $250 million. It has revenues of less than $100,000,000 per year.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Overview of Business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operated as Dinewise Inc. until March 27, 2025 when it changed its name to Superstar Platforms Inc. Superstar Platforms, Inc owns PawnTrust. PawnTrust is a marketplace exclusively for Pawn Shops. It allows users to buy, borrow and barter through an app on their mobile phone. The marketplace is live and is currently testing on Pawn Club in Marietta, Georgia. The company will look to sign up other pawn partners starting September 1, 2026. The Company utilizes a combination of shareholder capital and debt financing to fund its lending activities, generating interest income from loans receivable.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Market Outlook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technology sector is projected to surpass 5.5 trillion in 2026. Superstar Platforms, Inc is driven by accelerated demand for AI, cloud computing, cyber security, and fintech solutions. While macroeconomic and regulatory risks persist, well-diversified and innovative tech conglomerates are well-positioned to capitalize on digital transformation and sustained investment in technology infrastructure.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Potential Acquisitions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adjunct to its business strategy, the Company will also seek to identify potential acquisitions in the small lending business.</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Formation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Superstar Platforms Inc.- Shareholders’ Equity Capital Formation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was incorporated in the State of Nevada in 2002 as Simplagene USA Inc. and was known by that name until 2005. The Company operated as Dinewise Inc. until March 27, 2025 when it changed its name to Superstar Platforms Inc. As of June 30, 2026, The Company was authorized to issue one billion of common stock with 182,289,904 issued and outstanding. The company did not issue any shares since the Annual Report for the period ending December 31, 2025. In 2022, the Company issued 34,000,000 shares for debt conversions. In 2023, the Company issued 13,000,000 shares for debt conversion. In 2024, the Company issued 17,000,000 for debt conversions. In 2025 the company issued 10,557,948 shares. There is no preferred stock. The Company may require additional funding for ongoing operations in the future. There is no guarantee that we will be able to raise any additional capital and have no current arrangements for any such financing.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quarter ended June 30, 2026, the Company generated total revenue of </w:t>
      </w:r>
      <w:r>
        <w:rPr>
          <w:rFonts w:ascii="Times New Roman;Times;Serif" w:hAnsi="Times New Roman;Times;Serif"/>
          <w:b/>
          <w:i w:val="false"/>
          <w:caps w:val="false"/>
          <w:smallCaps w:val="false"/>
          <w:sz w:val="20"/>
        </w:rPr>
        <w:t>$0,</w:t>
      </w:r>
      <w:r>
        <w:rPr>
          <w:rFonts w:ascii="Times New Roman;Times;Serif" w:hAnsi="Times New Roman;Times;Serif"/>
          <w:b w:val="false"/>
          <w:i w:val="false"/>
          <w:caps w:val="false"/>
          <w:smallCaps w:val="false"/>
          <w:sz w:val="20"/>
        </w:rPr>
        <w:t xml:space="preserve"> compared to </w:t>
      </w:r>
      <w:r>
        <w:rPr>
          <w:rFonts w:ascii="Times New Roman;Times;Serif" w:hAnsi="Times New Roman;Times;Serif"/>
          <w:b/>
          <w:i w:val="false"/>
          <w:caps w:val="false"/>
          <w:smallCaps w:val="false"/>
          <w:sz w:val="20"/>
        </w:rPr>
        <w:t>$0</w:t>
      </w:r>
      <w:r>
        <w:rPr>
          <w:rFonts w:ascii="Times New Roman;Times;Serif" w:hAnsi="Times New Roman;Times;Serif"/>
          <w:b w:val="false"/>
          <w:i w:val="false"/>
          <w:caps w:val="false"/>
          <w:smallCaps w:val="false"/>
          <w:sz w:val="20"/>
        </w:rPr>
        <w:t xml:space="preserve"> for the year quarter ended June 30, 2025. The decrease was a re-classification of revenue to other income.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totaled $(276,565) for the 6 month ended June 30, 2026, compared to $(238,672) for the 6 months ended June 30, 2025, an increase of $37,893 or 15.88%. The reason for the increase was bad debt expense which is explained in allowance for Credit Losses.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Profit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a net loss of $76,792 for the 6 month ended June 30, 2026, compared to a net loss of $140,351 for the 6 month ended June 30, 2025, a decrease of $63,559 or 45.28%. The decrease in net loss was attributable to interest income.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results of our operations for quarter ended June 30, 2026 and June 30, 2025, 2025, respectively, and provides information regarding the dollar and percentage increase or (decrease) from the current year to the prior year:</w:t>
      </w:r>
    </w:p>
    <w:p>
      <w:pPr>
        <w:pStyle w:val="TextBody"/>
        <w:bidi w:val="0"/>
        <w:jc w:val="both"/>
        <w:rPr>
          <w:caps w:val="false"/>
          <w:smallCaps w:val="false"/>
        </w:rPr>
      </w:pPr>
      <w:r>
        <w:rPr>
          <w:caps w:val="false"/>
          <w:smallCaps w:val="false"/>
        </w:rPr>
        <w:t> </w:t>
      </w:r>
    </w:p>
    <w:tbl>
      <w:tblPr>
        <w:tblW w:w="8258" w:type="dxa"/>
        <w:jc w:val="left"/>
        <w:tblInd w:w="0" w:type="dxa"/>
        <w:tblLayout w:type="fixed"/>
        <w:tblCellMar>
          <w:top w:w="0" w:type="dxa"/>
          <w:left w:w="0" w:type="dxa"/>
          <w:bottom w:w="28" w:type="dxa"/>
          <w:right w:w="0" w:type="dxa"/>
        </w:tblCellMar>
      </w:tblPr>
      <w:tblGrid>
        <w:gridCol w:w="1940"/>
        <w:gridCol w:w="60"/>
        <w:gridCol w:w="140"/>
        <w:gridCol w:w="875"/>
        <w:gridCol w:w="95"/>
        <w:gridCol w:w="60"/>
        <w:gridCol w:w="140"/>
        <w:gridCol w:w="875"/>
        <w:gridCol w:w="95"/>
        <w:gridCol w:w="60"/>
        <w:gridCol w:w="270"/>
        <w:gridCol w:w="1459"/>
        <w:gridCol w:w="95"/>
        <w:gridCol w:w="60"/>
        <w:gridCol w:w="147"/>
        <w:gridCol w:w="1582"/>
        <w:gridCol w:w="305"/>
      </w:tblGrid>
      <w:tr>
        <w:trPr/>
        <w:tc>
          <w:tcPr>
            <w:tcW w:w="1940" w:type="dxa"/>
            <w:tcBorders>
              <w:bottom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Line item</w:t>
            </w:r>
          </w:p>
        </w:tc>
        <w:tc>
          <w:tcPr>
            <w:tcW w:w="60" w:type="dxa"/>
            <w:tcBorders/>
            <w:tcMar>
              <w:bottom w:w="0" w:type="dxa"/>
            </w:tcMar>
            <w:vAlign w:val="center"/>
          </w:tcPr>
          <w:p>
            <w:pPr>
              <w:pStyle w:val="TableContents"/>
              <w:bidi w:val="0"/>
              <w:spacing w:before="0" w:after="283"/>
              <w:jc w:val="left"/>
              <w:rPr/>
            </w:pPr>
            <w:r>
              <w:rPr/>
              <w:t> </w:t>
            </w:r>
          </w:p>
        </w:tc>
        <w:tc>
          <w:tcPr>
            <w:tcW w:w="10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6/30/26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6/30/25</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2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Increase/Decrease</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2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 </w:t>
              <w:br/>
              <w:t>Increase/Decrease</w:t>
            </w:r>
          </w:p>
        </w:tc>
        <w:tc>
          <w:tcPr>
            <w:tcW w:w="305" w:type="dxa"/>
            <w:tcBorders/>
            <w:tcMar>
              <w:bottom w:w="0" w:type="dxa"/>
            </w:tcMar>
            <w:vAlign w:val="center"/>
          </w:tcPr>
          <w:p>
            <w:pPr>
              <w:pStyle w:val="TableContents"/>
              <w:bidi w:val="0"/>
              <w:spacing w:before="0" w:after="283"/>
              <w:jc w:val="left"/>
              <w:rPr/>
            </w:pPr>
            <w:r>
              <w:rPr/>
              <w:t> </w:t>
            </w:r>
          </w:p>
        </w:tc>
      </w:tr>
      <w:tr>
        <w:trPr/>
        <w:tc>
          <w:tcPr>
            <w:tcW w:w="19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15"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15"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29"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29" w:type="dxa"/>
            <w:gridSpan w:val="2"/>
            <w:tcBorders/>
            <w:tcMar>
              <w:bottom w:w="0" w:type="dxa"/>
            </w:tcMar>
            <w:vAlign w:val="center"/>
          </w:tcPr>
          <w:p>
            <w:pPr>
              <w:pStyle w:val="TableContents"/>
              <w:bidi w:val="0"/>
              <w:spacing w:before="0" w:after="283"/>
              <w:jc w:val="left"/>
              <w:rPr/>
            </w:pPr>
            <w:r>
              <w:rPr/>
              <w:t> </w:t>
            </w:r>
          </w:p>
        </w:tc>
        <w:tc>
          <w:tcPr>
            <w:tcW w:w="305" w:type="dxa"/>
            <w:tcBorders/>
            <w:tcMar>
              <w:bottom w:w="0" w:type="dxa"/>
            </w:tcMar>
            <w:vAlign w:val="center"/>
          </w:tcPr>
          <w:p>
            <w:pPr>
              <w:pStyle w:val="TableContents"/>
              <w:bidi w:val="0"/>
              <w:spacing w:before="0" w:after="283"/>
              <w:jc w:val="left"/>
              <w:rPr/>
            </w:pPr>
            <w:r>
              <w:rPr/>
              <w:t> </w:t>
            </w:r>
          </w:p>
        </w:tc>
      </w:tr>
      <w:tr>
        <w:trPr/>
        <w:tc>
          <w:tcPr>
            <w:tcW w:w="19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5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pPr>
            <w:r>
              <w:rPr/>
              <w:t> </w:t>
            </w:r>
          </w:p>
        </w:tc>
        <w:tc>
          <w:tcPr>
            <w:tcW w:w="1582" w:type="dxa"/>
            <w:tcBorders/>
            <w:shd w:fill="CCEEFF" w:val="clear"/>
            <w:tcMar>
              <w:bottom w:w="0" w:type="dxa"/>
            </w:tcMar>
            <w:vAlign w:val="center"/>
          </w:tcPr>
          <w:p>
            <w:pPr>
              <w:pStyle w:val="TableContents"/>
              <w:bidi w:val="0"/>
              <w:spacing w:before="0" w:after="283"/>
              <w:jc w:val="right"/>
              <w:rPr/>
            </w:pPr>
            <w:r>
              <w:rPr/>
              <w:t> </w:t>
            </w:r>
          </w:p>
        </w:tc>
        <w:tc>
          <w:tcPr>
            <w:tcW w:w="305" w:type="dxa"/>
            <w:tcBorders/>
            <w:shd w:fill="CCEEFF" w:val="clear"/>
            <w:tcMar>
              <w:bottom w:w="0" w:type="dxa"/>
            </w:tcMar>
            <w:vAlign w:val="center"/>
          </w:tcPr>
          <w:p>
            <w:pPr>
              <w:pStyle w:val="TableContents"/>
              <w:bidi w:val="0"/>
              <w:spacing w:before="0" w:after="283"/>
              <w:jc w:val="left"/>
              <w:rPr/>
            </w:pPr>
            <w:r>
              <w:rPr/>
              <w:t> </w:t>
            </w:r>
          </w:p>
        </w:tc>
      </w:tr>
      <w:tr>
        <w:trPr/>
        <w:tc>
          <w:tcPr>
            <w:tcW w:w="19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(276,565</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(238,672</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5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37,893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jc w:val="left"/>
              <w:rPr/>
            </w:pPr>
            <w:r>
              <w:rPr/>
              <w:t> </w:t>
            </w:r>
          </w:p>
        </w:tc>
        <w:tc>
          <w:tcPr>
            <w:tcW w:w="158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15.88</w:t>
            </w:r>
          </w:p>
        </w:tc>
        <w:tc>
          <w:tcPr>
            <w:tcW w:w="30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9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(76,792</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(140,351</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5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63,559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pPr>
            <w:r>
              <w:rPr/>
              <w:t> </w:t>
            </w:r>
          </w:p>
        </w:tc>
        <w:tc>
          <w:tcPr>
            <w:tcW w:w="158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(45.28</w:t>
            </w:r>
          </w:p>
        </w:tc>
        <w:tc>
          <w:tcPr>
            <w:tcW w:w="30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9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Per Share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0.00042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0.00078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5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(.00036</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jc w:val="left"/>
              <w:rPr/>
            </w:pPr>
            <w:r>
              <w:rPr/>
              <w:t> </w:t>
            </w:r>
          </w:p>
        </w:tc>
        <w:tc>
          <w:tcPr>
            <w:tcW w:w="158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(46.15</w:t>
            </w:r>
          </w:p>
        </w:tc>
        <w:tc>
          <w:tcPr>
            <w:tcW w:w="30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and Capital Resources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primary sources of liquidity consist of cash on hand, proceeds from financing activities, and collections of principal and interest from loans receivable.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generates revenue primarily through interest income earned on its loan portfolio. Management expects that collections of interest and principal from loans receivable, together with future financing activities, will provide sufficient liquidity to support the Company’s operating activities and lending operations. Historically, we have depended on equity offerings and loans from our principal shareholders and their affiliated companies to provide us with working capital as required. the Company funded its lending activities and operations primarily through a combination of equity issuances and borrowings under promissory note agreements. As of June 30, 2026, the Company had $2,818,670 in notes payable, which were used primarily to fund a potential acquisition as well as provide working capital to fund loans issued to various borrowers under promissory note agreements. There is no guarantee that such funding will be available when required and there can be no assurance that our stockholders, or any of them, will continue making loans or advances to us in the future.</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continuously evaluates capital needs and may seek additional financing through debt or equity issuances in order to expand lending activities, fund strategic acquisitions, or support the development of the PawnTrust digital marketplace.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we had total assets of $3,238,815 and $2,817,823 respectively. working capital of $(1,340,880) and $(1,296,176) and an accumulated deficit of $(1,911,826) and $(1,835,034) and respectively. Our operating activities used $(33,218) in cash for the three months ending June 30, 2026, compared to net cash used in operations of $1,256,020 for the three months ended June 30,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the Company had an outstanding loan balance of $307,674 from a related party. The note was due on December 31, 2021 and will accrue interest until paid off. The Company finances a portion of its lending activities through notes payable, which totaled $2,818,670 as of June 30, 2026. These borrowings are used primarily to fund the Company’s loan receivable portfolio and provide working capital for operations. The Company generates revenue through the interest spread between the cost of borrowed funds and the interest earned on loans issued to borrowers. As of June 30, 2026 the loan receivable balance was $2,734,080. which contributes to interest income recognized in the Company’s statement of operations. These loans generally bear interest at an annual rate of approximately 24% and are documented through promissory note agreements. Management expects that collections of principal and interest from these receivables will contribute to the Company’s liquidity and support its ongoing operations. The Company evaluates its loan portfolio on an ongoing basis and maintains an allowance for credit losses in accordance with ASC 326 to reflect potential credit risk associated with its lending activities.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Credit Risk Management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monitors credit risk associated with its loan portfolio on an ongoing basis. Management evaluates borrower payment performance, financial condition, and compliance with loan agreements. As of June 30, 2026, all loans were current and performing in accordance with their contractual terms. The Company has established an allowance for credit losses consistent with the guidance under ASC 326 to address potential future credit losses.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Off Balance Sheet Arrangements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have any off-balance sheet arrangements that have or are reasonably likely to have a current or future effect on our financial condition, changes in financial condition, revenues or expenses, results of operations, liquidity or capital expenditures or capital resources that are material to an investor in our securities.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Inflation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operating results are affected in material ways by inflation. Periods of high rates of unemployment and other downturns in the economy lead to increases in revenue but can also have increased defaults on loans when the economy is down.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Critical Accounting Policies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and Exchange Commission issued Financial Reporting Release No. 60, “Cautionary Advice Regarding Disclosure About Critical Accounting Policies” suggesting that companies provide additional disclosure and commentary on their most critical accounting policies. In Financial Reporting Release No. 60, the Securities and Exchange Commission has defined the most critical accounting policies as the ones that are most important to the portrayal of a company’s financial condition and operating results, and require management to make its most difficult and subjective judgments, often as a result of the need to make estimates of matters that are inherently uncertain. The nature of our business generally does not call for the preparation or use of estimates.</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 Accounting Pronouncements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the Financial Accounting Standards Board (“FASB”) issued a new standard to improve reportable segment disclosures. The guidance expands the disclosures required for reportable segments in our annual and interim consolidated financial statements, primarily through enhanced disclosures about significant segment expenses. The standard will be effective for us beginning with our annual reporting for fiscal year 2025 and interim periods thereafter, with early adoption permitted. We are currently evaluating the impact of this standard on our segment disclosures.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 new standard to improve income tax disclosures. The guidance requires disclosure of disaggregated income taxes paid, prescribes standardized categories for the components of the effective tax rate reconciliation, and modifies other income tax-related disclosures. The standard will be effective for us beginning with our annual reporting for fiscal year 2026, with early adoption permitted. We are currently evaluating the impact of this standard on our income tax disclosures.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 new standard to expand disclosures about income statement expenses. The guidance requires disaggregation of certain costs and expenses included in each relevant expense caption on our consolidated income statements in a separate note to the financial statements at each interim and annual reporting period, including amounts of purchases of inventory, employee compensation, depreciation, and intangible asset amortization. The standard will be effective for annual reporting periods beginning after December 15, 2026, and interim reporting periods within annual reporting periods beginning after December 15, 2027, with early adoption permitted. We are currently evaluating the impact of this standard on our disclosures.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recent accounting pronouncements issued by the FASB (including its Emerging Issues Task Force) and the United States Securities and Exchange Commission did not or are not believed by management to have a material impact on the Company’s present or future financial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is recognized in accordance with the contractual terms of promissory notes and applicable accounting guidance. Management periodically reviews its estimates and assumptions. Actual results may differ from these estimates.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Allowance for Credit Losses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The Company accounts for expected credit losses on loans receivable in accordance with ASC 326 – Financial Instruments – Credit Losses (CECL). </w:t>
      </w:r>
      <w:r>
        <w:rPr>
          <w:rFonts w:ascii="Times New Roman;Times;Serif" w:hAnsi="Times New Roman;Times;Serif"/>
          <w:b w:val="false"/>
          <w:i w:val="false"/>
          <w:caps w:val="false"/>
          <w:smallCaps w:val="false"/>
          <w:sz w:val="20"/>
        </w:rPr>
        <w:t>As of June 30, 2026, the Company recorded an allowance for credit losses equal to approximately 3% of outstanding loan balances. Management determined this allowance based on factors including, the unsecured nature of most loans, borrower concentration, maturity concentration of the loans, historical repayment experience and current economic conditions. Actual credit losses may differ from management’s estimates. These credit losses are expensed on the company’s statement of operations.</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val="false"/>
          <w:caps w:val="false"/>
          <w:smallCaps w:val="false"/>
          <w:sz w:val="20"/>
        </w:rPr>
      </w:pPr>
      <w:bookmarkStart w:id="238" w:name="Aa_009"/>
      <w:bookmarkEnd w:id="238"/>
      <w:r>
        <w:rPr>
          <w:rFonts w:ascii="Times New Roman;Times;Serif" w:hAnsi="Times New Roman;Times;Serif"/>
          <w:b/>
          <w:i w:val="false"/>
          <w:caps w:val="false"/>
          <w:smallCaps w:val="false"/>
          <w:sz w:val="20"/>
        </w:rPr>
        <w:t>ITEM 3. QUANTITATIVE AND QUALITATIVE DISCLOSURES ABOUT MARKET RISK</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we are not required to provide the information required by this Item.</w:t>
      </w:r>
    </w:p>
    <w:p>
      <w:pPr>
        <w:pStyle w:val="TextBody"/>
        <w:shd w:fill="FFFFFF" w:val="clear"/>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bookmarkStart w:id="239" w:name="Aa_010"/>
      <w:bookmarkEnd w:id="239"/>
      <w:r>
        <w:rPr>
          <w:rFonts w:ascii="Times New Roman;Times;Serif" w:hAnsi="Times New Roman;Times;Serif"/>
          <w:b/>
          <w:i w:val="false"/>
          <w:caps w:val="false"/>
          <w:smallCaps w:val="false"/>
          <w:sz w:val="20"/>
        </w:rPr>
        <w:t>ITEM 4</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CONTROLS AND PROCEDURES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Evaluation of Disclosure Controls and Procedures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Rule 13a-15 under the Securities Exchange Act of 1934, we have carried out an evaluation of the effectiveness of our disclosure controls and procedures as of the end of the period covered by this quarterly report June 30, 2026. This evaluation was carried out by our Chief Executive Officer.</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controls and procedures are controls and other procedures that are designed to ensure that information required to be disclosed in our reports filed or submitted under the Securities Exchange Act of 1934 is recorded, processed, summarized, and reported, within the time periods specified in the Securities and Exchange Commission’s rules and forms. Disclosure controls and procedures include controls and procedures designed to ensure that information required to be disclosed in our company’s reports filed under the Securities Exchange Act of 1934 is accumulated and communicated to management, including our Chief Executive Officer and Chief Financial Officer, to allow timely decisions regarding required disclosure.</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that evaluation, including our Chief Executive Officer, we have concluded that our disclosure controls and procedures were ineffective as of the end of the period covered by this report due to a material weakness in our internal control over financial reporting, which is described below.</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Report on Internal Control over Financial Reporting</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responsible for establishing and maintaining adequate internal control over financial reporting (as defined in Rule 13a-15(f) under the Securities Exchange Act of 1934). Management has assessed the effectiveness of our internal control over financial reporting as of December 31, 2025 based on criteria established in Internal Control-Integrated Framework issued by the Committee of Sponsoring Organizations of the Treadway Commission. As a result of this assessment, management concluded that, as of June 30, 2026, our internal control over financial reporting was not effective. Our management identified the following material weaknesses in our internal control over financial reporting, which are indicative of many small companies with small staff: (i) inadequate segregation of duties and effective risk assessment. and (ii) insufficient written policies and procedures for accounting and financial reporting with respect to the requirements and application of both US GAAP and SEC guidelines.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take steps to enhance and improve the design of our internal control over financial reporting. During the period covered by this quarterly report on Form 10-Q, we have not been able to remediate the material weaknesses identified above. To remediate such weaknesses, we hope to implement the following changes during our fiscal year ending December 31, 2026: (i) appoint additional qualified personnel to address inadequate segregation of duties and ineffective risk management; and (ii) adopt sufficient written policies and procedures for accounting and financial reporting. The remediation efforts set out in (i) and (ii) are largely dependent upon our securing additional financing to cover the costs of implementing the changes required. If we are unsuccessful in securing such funds, remediation efforts may be adversely affected in a material manner.</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 certain extent, the size of our operation provides inherent checks and balances relative to internal controls: Because of our limited staff size and the integration of our executives and directors in operations, the prospect for significant internal control failures resulting in unreliable financial statements or worse is remote. Regardless, we recognize the importance of multiple layers of reporting and controls and are working toward improving our capabilities.</w:t>
      </w:r>
    </w:p>
    <w:p>
      <w:pPr>
        <w:pStyle w:val="TextBody"/>
        <w:shd w:fill="FFFFFF" w:val="clear"/>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change in the Company’s internal control over financial reporting that occurred during the Company’s most recently completed fiscal quarter that has materially affected, or is reasonably likely to materially affect, the Company’s internal control over financial reporting.</w:t>
      </w:r>
    </w:p>
    <w:p>
      <w:pPr>
        <w:pStyle w:val="TextBody"/>
        <w:bidi w:val="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40" w:name="Aa_011"/>
      <w:bookmarkEnd w:id="240"/>
      <w:r>
        <w:rPr>
          <w:rFonts w:ascii="Times New Roman;Times;Serif" w:hAnsi="Times New Roman;Times;Serif"/>
          <w:b/>
          <w:i w:val="false"/>
          <w:caps w:val="false"/>
          <w:smallCaps w:val="false"/>
          <w:sz w:val="20"/>
        </w:rPr>
        <w:t>PART 2- OTHER INFORMATION</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41" w:name="Aa_012"/>
      <w:bookmarkEnd w:id="241"/>
      <w:r>
        <w:rPr>
          <w:rFonts w:ascii="Times New Roman;Times;Serif" w:hAnsi="Times New Roman;Times;Serif"/>
          <w:b/>
          <w:i w:val="false"/>
          <w:caps w:val="false"/>
          <w:smallCaps w:val="false"/>
          <w:sz w:val="20"/>
        </w:rPr>
        <w:t>ITEM 1. LEGAL PROCEEDINGS</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be involved in various legal proceedings and claims arising in the ordinary course of business. As of the date of this report, the Company is not a party to any material legal proceedings, and management is not aware of any pending or threatened legal proceedings that could have a material adverse effect on the Company’s financial condition, results of operations, or cash flows.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val="false"/>
          <w:caps w:val="false"/>
          <w:smallCaps w:val="false"/>
          <w:sz w:val="20"/>
        </w:rPr>
      </w:pPr>
      <w:bookmarkStart w:id="242" w:name="Aa_013"/>
      <w:bookmarkEnd w:id="242"/>
      <w:r>
        <w:rPr>
          <w:rFonts w:ascii="Times New Roman;Times;Serif" w:hAnsi="Times New Roman;Times;Serif"/>
          <w:b/>
          <w:i w:val="false"/>
          <w:caps w:val="false"/>
          <w:smallCaps w:val="false"/>
          <w:sz w:val="20"/>
        </w:rPr>
        <w:t>ITEM 1A. RISK FACTORS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factors associated with our business are contained in Item 1A, “Risk Factors,” of our Annual Report on Form 10-K for the fiscal year ended December 31, 2025 filed with the SEC on May 15, 2026. There have been no material changes from the risk factors disclosed in the aforementioned filings.</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val="false"/>
          <w:caps w:val="false"/>
          <w:smallCaps w:val="false"/>
          <w:sz w:val="20"/>
        </w:rPr>
      </w:pPr>
      <w:bookmarkStart w:id="243" w:name="Aa_014"/>
      <w:bookmarkEnd w:id="243"/>
      <w:r>
        <w:rPr>
          <w:rFonts w:ascii="Times New Roman;Times;Serif" w:hAnsi="Times New Roman;Times;Serif"/>
          <w:b/>
          <w:i w:val="false"/>
          <w:caps w:val="false"/>
          <w:smallCaps w:val="false"/>
          <w:sz w:val="20"/>
        </w:rPr>
        <w:t>ITEM 2. UNREGISTERED SALES OF EQUITY SECURITIES AND USE OF PROCEEDS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sales unregistered sales of equity securities this period.</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val="false"/>
          <w:caps w:val="false"/>
          <w:smallCaps w:val="false"/>
          <w:sz w:val="20"/>
        </w:rPr>
      </w:pPr>
      <w:bookmarkStart w:id="244" w:name="Aa_015"/>
      <w:bookmarkEnd w:id="244"/>
      <w:r>
        <w:rPr>
          <w:rFonts w:ascii="Times New Roman;Times;Serif" w:hAnsi="Times New Roman;Times;Serif"/>
          <w:b/>
          <w:i w:val="false"/>
          <w:caps w:val="false"/>
          <w:smallCaps w:val="false"/>
          <w:sz w:val="20"/>
        </w:rPr>
        <w:t>ITEM 3. DEFAULTS UPON SENIOR SECURITIES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 senior securities, but has outstanding instruments previously characterized as unsecured convertible debentures. These instruments are not senior to any other Company obligation. A Company insider holds the note. The original note was $270,000 but the principal as of June 30, 2026 was 307,674.</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val="false"/>
          <w:caps w:val="false"/>
          <w:smallCaps w:val="false"/>
          <w:sz w:val="20"/>
        </w:rPr>
      </w:pPr>
      <w:bookmarkStart w:id="245" w:name="Aa_016"/>
      <w:bookmarkEnd w:id="245"/>
      <w:r>
        <w:rPr>
          <w:rFonts w:ascii="Times New Roman;Times;Serif" w:hAnsi="Times New Roman;Times;Serif"/>
          <w:b/>
          <w:i w:val="false"/>
          <w:caps w:val="false"/>
          <w:smallCaps w:val="false"/>
          <w:sz w:val="20"/>
        </w:rPr>
        <w:t>ITEM 4. MINE SAFETY DISCLOSURES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val="false"/>
          <w:caps w:val="false"/>
          <w:smallCaps w:val="false"/>
          <w:sz w:val="20"/>
        </w:rPr>
      </w:pPr>
      <w:bookmarkStart w:id="246" w:name="Aa_017"/>
      <w:bookmarkEnd w:id="246"/>
      <w:r>
        <w:rPr>
          <w:rFonts w:ascii="Times New Roman;Times;Serif" w:hAnsi="Times New Roman;Times;Serif"/>
          <w:b/>
          <w:i w:val="false"/>
          <w:caps w:val="false"/>
          <w:smallCaps w:val="false"/>
          <w:sz w:val="20"/>
        </w:rPr>
        <w:t>ITEM 5. OTHER INFORMATION</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to add.</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val="false"/>
          <w:caps w:val="false"/>
          <w:smallCaps w:val="false"/>
          <w:sz w:val="20"/>
        </w:rPr>
      </w:pPr>
      <w:bookmarkStart w:id="247" w:name="Aa_018"/>
      <w:bookmarkEnd w:id="247"/>
      <w:r>
        <w:rPr>
          <w:rFonts w:ascii="Times New Roman;Times;Serif" w:hAnsi="Times New Roman;Times;Serif"/>
          <w:b/>
          <w:i w:val="false"/>
          <w:caps w:val="false"/>
          <w:smallCaps w:val="false"/>
          <w:sz w:val="20"/>
        </w:rPr>
        <w:t>ITEM 6. EXHIBITS</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shd w:fill="FFFFFF" w:val="clear"/>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52"/>
        <w:gridCol w:w="60"/>
        <w:gridCol w:w="9393"/>
      </w:tblGrid>
      <w:tr>
        <w:trPr/>
        <w:tc>
          <w:tcPr>
            <w:tcW w:w="752"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93"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75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9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93" w:type="dxa"/>
            <w:tcBorders/>
            <w:tcMar>
              <w:bottom w:w="0" w:type="dxa"/>
            </w:tcMar>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Chief Executive Officer pursuant to Rule 13a-14(a) of the Securities Exchange Act.</w:t>
              </w:r>
            </w:hyperlink>
          </w:p>
        </w:tc>
      </w:tr>
      <w:tr>
        <w:trPr/>
        <w:tc>
          <w:tcPr>
            <w:tcW w:w="75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93" w:type="dxa"/>
            <w:tcBorders/>
            <w:tcMar>
              <w:bottom w:w="0" w:type="dxa"/>
            </w:tcMar>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Chief Financial Officer pursuant to Rule 13a-14(a) of the Securities Exchange Act.</w:t>
              </w:r>
            </w:hyperlink>
          </w:p>
        </w:tc>
      </w:tr>
      <w:tr>
        <w:trPr/>
        <w:tc>
          <w:tcPr>
            <w:tcW w:w="75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93" w:type="dxa"/>
            <w:tcBorders/>
            <w:tcMar>
              <w:bottom w:w="0" w:type="dxa"/>
            </w:tcMar>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Chief Executive Officer pursuant to 18 U.S.C. Section 1350, as adopted Pursuant to Section 906 of the Sarbanes-Oxley Act of 2002</w:t>
              </w:r>
            </w:hyperlink>
          </w:p>
        </w:tc>
      </w:tr>
      <w:tr>
        <w:trPr/>
        <w:tc>
          <w:tcPr>
            <w:tcW w:w="75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93" w:type="dxa"/>
            <w:tcBorders/>
            <w:tcMar>
              <w:bottom w:w="0" w:type="dxa"/>
            </w:tcMar>
            <w:vAlign w:val="center"/>
          </w:tcPr>
          <w:p>
            <w:pPr>
              <w:pStyle w:val="TableContents"/>
              <w:bidi w:val="0"/>
              <w:spacing w:before="0" w:after="283"/>
              <w:jc w:val="both"/>
              <w:rPr/>
            </w:pPr>
            <w:hyperlink w:anchor="ex32-2.htm">
              <w:r>
                <w:rPr>
                  <w:rStyle w:val="InternetLink"/>
                  <w:rFonts w:ascii="Times New Roman;Times;Serif" w:hAnsi="Times New Roman;Times;Serif"/>
                  <w:b w:val="false"/>
                  <w:i w:val="false"/>
                  <w:caps w:val="false"/>
                  <w:smallCaps w:val="false"/>
                  <w:sz w:val="20"/>
                </w:rPr>
                <w:t>Certification of Chief Financial Officer pursuant to 18 U.S.C. Section 1350, as adopted Pursuant to Section 906 of the Sarbanes-Oxley Act of 2002</w:t>
              </w:r>
            </w:hyperlink>
          </w:p>
        </w:tc>
      </w:tr>
      <w:tr>
        <w:trPr/>
        <w:tc>
          <w:tcPr>
            <w:tcW w:w="75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9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r>
      <w:tr>
        <w:trPr/>
        <w:tc>
          <w:tcPr>
            <w:tcW w:w="75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9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75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9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75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9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75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9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r>
      <w:tr>
        <w:trPr/>
        <w:tc>
          <w:tcPr>
            <w:tcW w:w="75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9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r>
      <w:tr>
        <w:trPr/>
        <w:tc>
          <w:tcPr>
            <w:tcW w:w="75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9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shd w:fill="FFFFFF" w:val="clear"/>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shd w:fill="FFFFFF" w:val="clear"/>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48" w:name="Aa_019"/>
      <w:bookmarkEnd w:id="248"/>
      <w:r>
        <w:rPr>
          <w:rFonts w:ascii="Times New Roman;Times;Serif" w:hAnsi="Times New Roman;Times;Serif"/>
          <w:b/>
          <w:i w:val="false"/>
          <w:caps w:val="false"/>
          <w:smallCaps w:val="false"/>
          <w:sz w:val="20"/>
        </w:rPr>
        <w:t>SIGNATURES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Securities Exchange Act of 1934, the registrant has duly caused this report to be signed on its behalf by the undersigned, thereunto duly authorized.</w:t>
      </w:r>
    </w:p>
    <w:p>
      <w:pPr>
        <w:pStyle w:val="TextBody"/>
        <w:bidi w:val="0"/>
        <w:jc w:val="both"/>
        <w:rPr>
          <w:caps w:val="false"/>
          <w:smallCaps w:val="false"/>
        </w:rPr>
      </w:pPr>
      <w:r>
        <w:rPr>
          <w:caps w:val="false"/>
          <w:smallCaps w:val="false"/>
        </w:rPr>
        <w:t> </w:t>
      </w:r>
    </w:p>
    <w:tbl>
      <w:tblPr>
        <w:tblW w:w="2944" w:type="dxa"/>
        <w:jc w:val="left"/>
        <w:tblInd w:w="0" w:type="dxa"/>
        <w:tblLayout w:type="fixed"/>
        <w:tblCellMar>
          <w:top w:w="0" w:type="dxa"/>
          <w:left w:w="0" w:type="dxa"/>
          <w:bottom w:w="0" w:type="dxa"/>
          <w:right w:w="0" w:type="dxa"/>
        </w:tblCellMar>
      </w:tblPr>
      <w:tblGrid>
        <w:gridCol w:w="75"/>
        <w:gridCol w:w="406"/>
        <w:gridCol w:w="246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6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SUPERSTAR PLATFORMS,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6" w:type="dxa"/>
            <w:tcBorders/>
            <w:vAlign w:val="center"/>
          </w:tcPr>
          <w:p>
            <w:pPr>
              <w:pStyle w:val="TableContents"/>
              <w:bidi w:val="0"/>
              <w:spacing w:before="0" w:after="283"/>
              <w:jc w:val="left"/>
              <w:rPr>
                <w:caps w:val="false"/>
                <w:smallCaps w:val="false"/>
              </w:rPr>
            </w:pPr>
            <w:r>
              <w:rPr>
                <w:caps w:val="false"/>
                <w:smallCaps w:val="false"/>
              </w:rPr>
              <w:t> </w:t>
            </w:r>
          </w:p>
        </w:tc>
        <w:tc>
          <w:tcPr>
            <w:tcW w:w="246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6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 MICHAEL FARR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6" w:type="dxa"/>
            <w:tcBorders/>
            <w:vAlign w:val="center"/>
          </w:tcPr>
          <w:p>
            <w:pPr>
              <w:pStyle w:val="TableContents"/>
              <w:bidi w:val="0"/>
              <w:spacing w:before="0" w:after="283"/>
              <w:jc w:val="left"/>
              <w:rPr>
                <w:caps w:val="false"/>
                <w:smallCaps w:val="false"/>
              </w:rPr>
            </w:pPr>
            <w:r>
              <w:rPr>
                <w:caps w:val="false"/>
                <w:smallCaps w:val="false"/>
              </w:rPr>
              <w:t> </w:t>
            </w:r>
          </w:p>
        </w:tc>
        <w:tc>
          <w:tcPr>
            <w:tcW w:w="24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Farr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6" w:type="dxa"/>
            <w:tcBorders/>
            <w:vAlign w:val="center"/>
          </w:tcPr>
          <w:p>
            <w:pPr>
              <w:pStyle w:val="TableContents"/>
              <w:bidi w:val="0"/>
              <w:spacing w:before="0" w:after="283"/>
              <w:jc w:val="left"/>
              <w:rPr>
                <w:caps w:val="false"/>
                <w:smallCaps w:val="false"/>
              </w:rPr>
            </w:pPr>
            <w:r>
              <w:rPr>
                <w:caps w:val="false"/>
                <w:smallCaps w:val="false"/>
              </w:rPr>
              <w:t> </w:t>
            </w:r>
          </w:p>
        </w:tc>
        <w:tc>
          <w:tcPr>
            <w:tcW w:w="2463"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Executive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6" w:type="dxa"/>
            <w:tcBorders/>
            <w:vAlign w:val="center"/>
          </w:tcPr>
          <w:p>
            <w:pPr>
              <w:pStyle w:val="TableContents"/>
              <w:bidi w:val="0"/>
              <w:spacing w:before="0" w:after="283"/>
              <w:jc w:val="left"/>
              <w:rPr>
                <w:caps w:val="false"/>
                <w:smallCaps w:val="false"/>
              </w:rPr>
            </w:pPr>
            <w:r>
              <w:rPr>
                <w:caps w:val="false"/>
                <w:smallCaps w:val="false"/>
              </w:rPr>
              <w:t> </w:t>
            </w:r>
          </w:p>
        </w:tc>
        <w:tc>
          <w:tcPr>
            <w:tcW w:w="246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12, 2026</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this report has been signed below by the following persons on August 12, 2026 on behalf of the registrant and in the capacities indicated.</w:t>
      </w:r>
    </w:p>
    <w:p>
      <w:pPr>
        <w:pStyle w:val="TextBody"/>
        <w:bidi w:val="0"/>
        <w:jc w:val="left"/>
        <w:rPr>
          <w:caps w:val="false"/>
          <w:smallCaps w:val="false"/>
        </w:rPr>
      </w:pPr>
      <w:r>
        <w:rPr>
          <w:caps w:val="false"/>
          <w:smallCaps w:val="false"/>
        </w:rPr>
        <w:t> </w:t>
      </w:r>
    </w:p>
    <w:tbl>
      <w:tblPr>
        <w:tblW w:w="6865" w:type="dxa"/>
        <w:jc w:val="left"/>
        <w:tblInd w:w="0" w:type="dxa"/>
        <w:tblLayout w:type="fixed"/>
        <w:tblCellMar>
          <w:top w:w="0" w:type="dxa"/>
          <w:left w:w="0" w:type="dxa"/>
          <w:bottom w:w="28" w:type="dxa"/>
          <w:right w:w="0" w:type="dxa"/>
        </w:tblCellMar>
      </w:tblPr>
      <w:tblGrid>
        <w:gridCol w:w="1775"/>
        <w:gridCol w:w="60"/>
        <w:gridCol w:w="5030"/>
      </w:tblGrid>
      <w:tr>
        <w:trPr/>
        <w:tc>
          <w:tcPr>
            <w:tcW w:w="17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3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r>
      <w:tr>
        <w:trPr/>
        <w:tc>
          <w:tcPr>
            <w:tcW w:w="17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7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MICHAEL FARR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Director</w:t>
            </w:r>
          </w:p>
        </w:tc>
      </w:tr>
      <w:tr>
        <w:trPr/>
        <w:tc>
          <w:tcPr>
            <w:tcW w:w="17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Farr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r>
        <w:trPr/>
        <w:tc>
          <w:tcPr>
            <w:tcW w:w="17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7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MICHAEL FARR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7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Farr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 and Principal Accounting Officer)</w:t>
            </w:r>
          </w:p>
        </w:tc>
      </w:tr>
      <w:tr>
        <w:trPr/>
        <w:tc>
          <w:tcPr>
            <w:tcW w:w="17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7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CHRISTINA FARR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17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Christina Farr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bookmarkStart w:id="249" w:name="ex31-1.htm"/>
      <w:bookmarkStart w:id="250" w:name="ksex311"/>
      <w:bookmarkEnd w:id="249"/>
      <w:bookmarkEnd w:id="250"/>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SUPERSTAR PLATFORMS, INC. EXECUTIVE OFFICER’S CERTIFICATE PURSUANT TO SECTION 302</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Michael Farr, certify that.</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Form 10-Q of Superstar Platforms, Inc.</w:t>
            </w:r>
          </w:p>
        </w:tc>
      </w:tr>
      <w:tr>
        <w:trPr/>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jc w:val="righ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jc w:val="righ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my most recent evaluation of internal control over financial reporting, to the registrant’s auditors and the audit committee of the registrant’s board of directors (or persons performing the equivalent functions):</w:t>
            </w:r>
          </w:p>
        </w:tc>
      </w:tr>
    </w:tbl>
    <w:p>
      <w:pPr>
        <w:pStyle w:val="TextBody"/>
        <w:bidi w:val="0"/>
        <w:jc w:val="righ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which involves management or other employees who have a significant role in the registrant’s internal control over financial reporting.</w:t>
            </w:r>
          </w:p>
        </w:tc>
      </w:tr>
    </w:tbl>
    <w:p>
      <w:pPr>
        <w:pStyle w:val="TextBody"/>
        <w:bidi w:val="0"/>
        <w:jc w:val="right"/>
        <w:rPr>
          <w:caps w:val="false"/>
          <w:smallCaps w:val="false"/>
        </w:rPr>
      </w:pPr>
      <w:r>
        <w:rPr>
          <w:caps w:val="false"/>
          <w:smallCaps w:val="false"/>
        </w:rPr>
        <w:t> </w:t>
      </w:r>
    </w:p>
    <w:tbl>
      <w:tblPr>
        <w:tblW w:w="5130" w:type="dxa"/>
        <w:jc w:val="left"/>
        <w:tblInd w:w="0" w:type="dxa"/>
        <w:tblLayout w:type="fixed"/>
        <w:tblCellMar>
          <w:top w:w="0" w:type="dxa"/>
          <w:left w:w="0" w:type="dxa"/>
          <w:bottom w:w="0" w:type="dxa"/>
          <w:right w:w="0" w:type="dxa"/>
        </w:tblCellMar>
      </w:tblPr>
      <w:tblGrid>
        <w:gridCol w:w="1970"/>
        <w:gridCol w:w="320"/>
        <w:gridCol w:w="2840"/>
      </w:tblGrid>
      <w:tr>
        <w:trPr/>
        <w:tc>
          <w:tcPr>
            <w:tcW w:w="1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12, 2026</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8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8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316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Superstar Platforms, Inc. </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8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Michael Farr</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Michael Farr </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Executive Officer, President </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(Principal Executive Officer) </w:t>
            </w:r>
          </w:p>
        </w:tc>
      </w:tr>
    </w:tbl>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bookmarkStart w:id="251" w:name="ex31-2.htm"/>
      <w:bookmarkStart w:id="252" w:name="ksex312"/>
      <w:bookmarkEnd w:id="251"/>
      <w:bookmarkEnd w:id="252"/>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SUPERSTAR PLATFORMS, INC. FINANCIAL OFFICER’S CERTIFICATE PURSUANT TO SECTION 302</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Michael Farr., certify that:</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Form 10-Q of Superstar Platforms, Inc.</w:t>
            </w:r>
          </w:p>
        </w:tc>
      </w:tr>
      <w:tr>
        <w:trPr/>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jc w:val="righ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jc w:val="righ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my most recent evaluation of internal control over financial reporting, to the registrant’s auditors and the audit committee of the registrant’s board of directors (or persons performing the equivalent functions):</w:t>
            </w:r>
          </w:p>
        </w:tc>
      </w:tr>
    </w:tbl>
    <w:p>
      <w:pPr>
        <w:pStyle w:val="TextBody"/>
        <w:bidi w:val="0"/>
        <w:jc w:val="righ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which involves management or other employees who have a significant role in the registrant’s internal control over financial reporting.</w:t>
            </w:r>
          </w:p>
        </w:tc>
      </w:tr>
    </w:tbl>
    <w:p>
      <w:pPr>
        <w:pStyle w:val="TextBody"/>
        <w:bidi w:val="0"/>
        <w:jc w:val="right"/>
        <w:rPr>
          <w:caps w:val="false"/>
          <w:smallCaps w:val="false"/>
        </w:rPr>
      </w:pPr>
      <w:r>
        <w:rPr>
          <w:caps w:val="false"/>
          <w:smallCaps w:val="false"/>
        </w:rPr>
        <w:t> </w:t>
      </w:r>
    </w:p>
    <w:tbl>
      <w:tblPr>
        <w:tblW w:w="4785" w:type="dxa"/>
        <w:jc w:val="left"/>
        <w:tblInd w:w="0" w:type="dxa"/>
        <w:tblLayout w:type="fixed"/>
        <w:tblCellMar>
          <w:top w:w="0" w:type="dxa"/>
          <w:left w:w="0" w:type="dxa"/>
          <w:bottom w:w="0" w:type="dxa"/>
          <w:right w:w="0" w:type="dxa"/>
        </w:tblCellMar>
      </w:tblPr>
      <w:tblGrid>
        <w:gridCol w:w="1970"/>
        <w:gridCol w:w="320"/>
        <w:gridCol w:w="2495"/>
      </w:tblGrid>
      <w:tr>
        <w:trPr/>
        <w:tc>
          <w:tcPr>
            <w:tcW w:w="1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12, 2026</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4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4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281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Superstar Platforms, Inc.</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281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Michael Farr</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Farr</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Accounting Officer)</w:t>
            </w:r>
          </w:p>
        </w:tc>
      </w:tr>
    </w:tbl>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bookmarkStart w:id="253" w:name="ex32-1.htm"/>
      <w:bookmarkStart w:id="254" w:name="ksex321"/>
      <w:bookmarkEnd w:id="253"/>
      <w:bookmarkEnd w:id="254"/>
      <w:r>
        <w:rPr>
          <w:caps w:val="false"/>
          <w:smallCaps w:val="false"/>
        </w:rPr>
        <w:t> </w:t>
      </w:r>
      <w:r>
        <w:br w:type="page"/>
      </w:r>
    </w:p>
    <w:p>
      <w:pPr>
        <w:pStyle w:val="TextBody"/>
        <w:bidi w:val="0"/>
        <w:ind w:left="720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 PURSUANT TO 18 U.S.C. SECTION 1350, AS ADOPTED PURSUANT TO SECTION 906 OF THE SARBANES-OXLEY ACT OF 2002</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Superstar Platforms, Inc. (the Registrant) on Form 10-Q for the year ended June 30, 2026, as filed with the Securities and Exchange Commission on the date hereof (the Report), I, Michael Farr., Principal Accounting Officer of the Company, certify, pursuant to 18 U.S.C. §1350, as adopted pursuant to Section 906 of the Sarbanes-Oxley Act of 2002, that: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signed original of this written statement required by Section 906 has been provided to Michael Farr. and will be retained by Superstar Platforms, Inc. and furnished to the Securities and Exchange Commission or its staff upon request.</w:t>
      </w:r>
    </w:p>
    <w:p>
      <w:pPr>
        <w:pStyle w:val="TextBody"/>
        <w:bidi w:val="0"/>
        <w:jc w:val="both"/>
        <w:rPr>
          <w:caps w:val="false"/>
          <w:smallCaps w:val="false"/>
        </w:rPr>
      </w:pPr>
      <w:r>
        <w:rPr>
          <w:caps w:val="false"/>
          <w:smallCaps w:val="false"/>
        </w:rPr>
        <w:t> </w:t>
      </w:r>
    </w:p>
    <w:tbl>
      <w:tblPr>
        <w:tblW w:w="5130" w:type="dxa"/>
        <w:jc w:val="left"/>
        <w:tblInd w:w="0" w:type="dxa"/>
        <w:tblLayout w:type="fixed"/>
        <w:tblCellMar>
          <w:top w:w="0" w:type="dxa"/>
          <w:left w:w="0" w:type="dxa"/>
          <w:bottom w:w="0" w:type="dxa"/>
          <w:right w:w="0" w:type="dxa"/>
        </w:tblCellMar>
      </w:tblPr>
      <w:tblGrid>
        <w:gridCol w:w="1970"/>
        <w:gridCol w:w="365"/>
        <w:gridCol w:w="2795"/>
      </w:tblGrid>
      <w:tr>
        <w:trPr/>
        <w:tc>
          <w:tcPr>
            <w:tcW w:w="1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12, 2026</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27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27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316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Superstar Platforms, Inc. </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27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7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Michael Farr</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2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Farr</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2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President</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2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jc w:val="righ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bookmarkStart w:id="255" w:name="ex32-2.htm"/>
      <w:bookmarkStart w:id="256" w:name="ksex322"/>
      <w:bookmarkEnd w:id="255"/>
      <w:bookmarkEnd w:id="256"/>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32.2</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SUPERSTAR PLATFROMS, INC.CERTIFICATION PURSUANT TO 18 U.S.C. SECTION 1350,AS ADOPTED PURSUANT TO SECTION 906 OF THE SARBANES-OXLEY ACT OF 2002</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Superstar Platforms, Inc. (the Registrant) on Form 10-Q for the year ended June 30, 2026, as filed with the Securities and Exchange Commission on the date hereof (the Report), I, Michael Farr., Principal Accounting Officer of the Company, certify, pursuant to 18 U.S.C. §1350, as adopted pursuant to Section 906 of the Sarbanes-Oxley Act of 2002, that: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r>
        <w:trPr/>
        <w:tc>
          <w:tcPr>
            <w:tcW w:w="279" w:type="dxa"/>
            <w:tcBorders/>
            <w:vAlign w:val="center"/>
          </w:tcPr>
          <w:p>
            <w:pPr>
              <w:pStyle w:val="TableContents"/>
              <w:bidi w:val="0"/>
              <w:spacing w:before="0" w:after="283"/>
              <w:jc w:val="left"/>
              <w:rPr>
                <w:caps w:val="false"/>
                <w:smallCaps w:val="false"/>
              </w:rPr>
            </w:pPr>
            <w:r>
              <w:rPr>
                <w:caps w:val="false"/>
                <w:smallCaps w:val="false"/>
              </w:rPr>
              <w:t> </w:t>
            </w:r>
          </w:p>
        </w:tc>
        <w:tc>
          <w:tcPr>
            <w:tcW w:w="992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signed original of this written statement required by Section 906 has been provided to Michael Farr and will be retained by Superstar Platforms, Inc. and furnished to the Securities and Exchange Commission or its staff upon request.</w:t>
      </w:r>
    </w:p>
    <w:p>
      <w:pPr>
        <w:pStyle w:val="TextBody"/>
        <w:bidi w:val="0"/>
        <w:jc w:val="left"/>
        <w:rPr>
          <w:caps w:val="false"/>
          <w:smallCaps w:val="false"/>
        </w:rPr>
      </w:pPr>
      <w:r>
        <w:rPr>
          <w:caps w:val="false"/>
          <w:smallCaps w:val="false"/>
        </w:rPr>
        <w:t> </w:t>
      </w:r>
    </w:p>
    <w:tbl>
      <w:tblPr>
        <w:tblW w:w="4785" w:type="dxa"/>
        <w:jc w:val="left"/>
        <w:tblInd w:w="0" w:type="dxa"/>
        <w:tblLayout w:type="fixed"/>
        <w:tblCellMar>
          <w:top w:w="0" w:type="dxa"/>
          <w:left w:w="0" w:type="dxa"/>
          <w:bottom w:w="0" w:type="dxa"/>
          <w:right w:w="0" w:type="dxa"/>
        </w:tblCellMar>
      </w:tblPr>
      <w:tblGrid>
        <w:gridCol w:w="1970"/>
        <w:gridCol w:w="320"/>
        <w:gridCol w:w="2495"/>
      </w:tblGrid>
      <w:tr>
        <w:trPr/>
        <w:tc>
          <w:tcPr>
            <w:tcW w:w="1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12, 2026</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4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4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281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Superstar Platforms, Inc.</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4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Michael Farr</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Farr</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Accounting Officer)</w:t>
            </w:r>
          </w:p>
        </w:tc>
      </w:tr>
    </w:tbl>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9183</Words>
  <Characters>52165</Characters>
  <CharactersWithSpaces>61931</CharactersWithSpaces>
  <Paragraphs>2421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