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 </w:t>
      </w:r>
      <w:r>
        <w:rPr/>
        <w:t>November 14, 2025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Michael Farr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Superstar Platforms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586 Cobb Parkway S., Suite 900</w:t>
      </w:r>
    </w:p>
    <w:p>
      <w:pPr>
        <w:pStyle w:val="PreformattedText"/>
        <w:bidi w:val="0"/>
        <w:spacing w:before="0" w:after="0"/>
        <w:jc w:val="left"/>
        <w:rPr/>
      </w:pPr>
      <w:r>
        <w:rPr/>
        <w:t>Marietta, GA 30060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Superstar Platforms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Amendment No. 4 to Registration Statement on Form 10-12G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September 19,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000-56744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Michael Farr: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We have reviewed your filing and have the following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respond to this letter within ten business days by providing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or advise us as soon as possible when you will respond. If you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believe a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comment applies to your facts and circumstances, please tell us why in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After reviewing your response and any amendment you may file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response to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letter, we may have additional comments.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No. 4 to Registration Statement on Form 10-12G filed September 19,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1. Business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   We note your revised disclosure in response to prior comment 1, stating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"Superstar Platforms owns no Pawnshops," and reissue. Please revise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number of pawn shops your platform, PawnTrust, currently serves. In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regard, we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note your disclosure that PawnTrust is "a specialized marketplace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exclusively for the approximately 11,000 pawn shops across the country."</w:t>
      </w:r>
    </w:p>
    <w:p>
      <w:pPr>
        <w:pStyle w:val="PreformattedText"/>
        <w:bidi w:val="0"/>
        <w:spacing w:before="0" w:after="0"/>
        <w:jc w:val="left"/>
        <w:rPr/>
      </w:pPr>
      <w:r>
        <w:rPr/>
        <w:t>ITEM 2-Financial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MANAGEMENT'S DISCUSSION AND ANALYSIS OF FINANCIAL CONDITION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RESULTS OF OPERATIONS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Results of Operations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   We note your revised disclosure in response to prior comment 2. Please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>update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table presented under this section accordingly, including "Net profit"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"Profit per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share" rows and "Increase/Decrease" and "% Increase/Decrease" columns.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November 14, 2025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   We note your revised disclosure in response to prior comment 3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reissue. Please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provide the results of your operations in connection with PawnTrust.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We remind you that the company and its management are responsible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accuracy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adequacy of their disclosures, notwithstanding any review, comments,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absence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action 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Eddie Kim at 202-551-8713 or Dietrich King at</w:t>
      </w:r>
    </w:p>
    <w:p>
      <w:pPr>
        <w:pStyle w:val="PreformattedText"/>
        <w:bidi w:val="0"/>
        <w:spacing w:before="0" w:after="0"/>
        <w:jc w:val="left"/>
        <w:rPr/>
      </w:pPr>
      <w:r>
        <w:rPr/>
        <w:t>202-551-8071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</w:t>
      </w:r>
      <w:r>
        <w:rPr/>
        <w:t>Office of Trade &amp;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Stephen Mills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332</Words>
  <Characters>1816</Characters>
  <CharactersWithSpaces>2463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