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1" w:lineRule="exact"/>
        <w:rPr>
          <w:sz w:val="24"/>
          <w:szCs w:val="24"/>
          <w:color w:val="auto"/>
        </w:rPr>
      </w:pPr>
    </w:p>
    <w:p>
      <w:pPr>
        <w:jc w:val="center"/>
        <w:spacing w:after="0" w:line="196" w:lineRule="exact"/>
        <w:rPr>
          <w:sz w:val="20"/>
          <w:szCs w:val="20"/>
          <w:color w:val="auto"/>
        </w:rPr>
      </w:pP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600" w:right="940" w:hanging="2657"/>
        <w:spacing w:after="0" w:line="500" w:lineRule="auto"/>
        <w:tabs>
          <w:tab w:leader="none" w:pos="11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highlight w:val="black"/>
        </w:rPr>
      </w:pPr>
    </w:p>
    <w:p>
      <w:pPr>
        <w:ind w:left="4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u w:val="single" w:color="auto"/>
          <w:color w:val="auto"/>
        </w:rPr>
        <w:t>000-56744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01-0741042</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0"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586 Cobb Parkway S Suite 900 Marietta, GA 30060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228-0680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2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7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30, 2025, there were 180,147,046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r>
      <w:tr>
        <w:trPr>
          <w:trHeight w:val="216"/>
        </w:trPr>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89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2320" w:type="dxa"/>
            <w:vAlign w:val="bottom"/>
            <w:shd w:val="clear" w:color="auto" w:fill="CCEEFF"/>
          </w:tcPr>
          <w:p>
            <w:pPr>
              <w:spacing w:after="0"/>
              <w:rPr>
                <w:sz w:val="18"/>
                <w:szCs w:val="18"/>
                <w:color w:val="auto"/>
              </w:rPr>
            </w:pPr>
          </w:p>
        </w:tc>
      </w:tr>
      <w:tr>
        <w:trPr>
          <w:trHeight w:val="176"/>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Notes to Unaudited Financial Statements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4000" w:type="dxa"/>
            <w:vAlign w:val="bottom"/>
            <w:tcBorders>
              <w:bottom w:val="single" w:sz="8" w:color="CCEEFF"/>
            </w:tcBorders>
            <w:gridSpan w:val="3"/>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266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6260" w:type="dxa"/>
            <w:vAlign w:val="bottom"/>
            <w:tcBorders>
              <w:top w:val="single" w:sz="8" w:color="CCEEFF"/>
            </w:tcBorders>
            <w:gridSpan w:val="7"/>
          </w:tcPr>
          <w:p>
            <w:pPr>
              <w:spacing w:after="0"/>
              <w:rPr>
                <w:sz w:val="15"/>
                <w:szCs w:val="15"/>
                <w:color w:val="auto"/>
              </w:rPr>
            </w:pPr>
          </w:p>
        </w:tc>
        <w:tc>
          <w:tcPr>
            <w:tcW w:w="232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75"/>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2400" w:type="dxa"/>
            <w:vAlign w:val="bottom"/>
            <w:tcBorders>
              <w:bottom w:val="single" w:sz="8" w:color="0000EE"/>
            </w:tcBorders>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980" w:type="dxa"/>
            <w:vAlign w:val="bottom"/>
            <w:tcBorders>
              <w:bottom w:val="single" w:sz="8" w:color="CCEEFF"/>
            </w:tcBorders>
            <w:gridSpan w:val="6"/>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5"/>
        </w:trPr>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80" w:type="dxa"/>
            <w:vAlign w:val="bottom"/>
            <w:gridSpan w:val="14"/>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2320" w:type="dxa"/>
            <w:vAlign w:val="bottom"/>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380" w:type="dxa"/>
            <w:vAlign w:val="bottom"/>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380" w:type="dxa"/>
            <w:vAlign w:val="bottom"/>
            <w:tcBorders>
              <w:top w:val="single" w:sz="8" w:color="0000EE"/>
            </w:tcBorders>
            <w:gridSpan w:val="4"/>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000" w:type="dxa"/>
            <w:vAlign w:val="bottom"/>
            <w:tcBorders>
              <w:top w:val="single" w:sz="8" w:color="CCEEFF"/>
            </w:tcBorders>
            <w:gridSpan w:val="10"/>
          </w:tcPr>
          <w:p>
            <w:pPr>
              <w:spacing w:after="0"/>
              <w:rPr>
                <w:sz w:val="15"/>
                <w:szCs w:val="15"/>
                <w:color w:val="auto"/>
              </w:rPr>
            </w:pPr>
          </w:p>
        </w:tc>
        <w:tc>
          <w:tcPr>
            <w:tcW w:w="2320" w:type="dxa"/>
            <w:vAlign w:val="bottom"/>
            <w:tcBorders>
              <w:top w:val="single" w:sz="8" w:color="CCEEFF"/>
            </w:tcBorders>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89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320" w:type="dxa"/>
            <w:vAlign w:val="bottom"/>
            <w:shd w:val="clear" w:color="auto" w:fill="CCEEFF"/>
          </w:tcPr>
          <w:p>
            <w:pPr>
              <w:jc w:val="center"/>
              <w:ind w:left="159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432"/>
        </w:trPr>
        <w:tc>
          <w:tcPr>
            <w:tcW w:w="5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5960" w:type="dxa"/>
            <w:vAlign w:val="bottom"/>
            <w:tcBorders>
              <w:top w:val="single" w:sz="8" w:color="CCEEFF"/>
              <w:bottom w:val="single" w:sz="8" w:color="auto"/>
            </w:tcBorders>
            <w:gridSpan w:val="12"/>
          </w:tcPr>
          <w:p>
            <w:pPr>
              <w:jc w:val="right"/>
              <w:ind w:right="1400"/>
              <w:spacing w:after="0"/>
              <w:rPr>
                <w:sz w:val="20"/>
                <w:szCs w:val="20"/>
                <w:color w:val="auto"/>
              </w:rPr>
            </w:pPr>
            <w:r>
              <w:rPr>
                <w:rFonts w:ascii="Times New Roman" w:cs="Times New Roman" w:eastAsia="Times New Roman" w:hAnsi="Times New Roman"/>
                <w:sz w:val="18"/>
                <w:szCs w:val="18"/>
                <w:color w:val="auto"/>
              </w:rPr>
              <w:t>2</w:t>
            </w:r>
          </w:p>
        </w:tc>
        <w:tc>
          <w:tcPr>
            <w:tcW w:w="1860" w:type="dxa"/>
            <w:vAlign w:val="bottom"/>
            <w:tcBorders>
              <w:top w:val="single" w:sz="8" w:color="CCEEFF"/>
              <w:bottom w:val="single" w:sz="8" w:color="auto"/>
            </w:tcBorders>
          </w:tcPr>
          <w:p>
            <w:pPr>
              <w:spacing w:after="0"/>
              <w:rPr>
                <w:sz w:val="24"/>
                <w:szCs w:val="24"/>
                <w:color w:val="auto"/>
              </w:rPr>
            </w:pPr>
          </w:p>
        </w:tc>
        <w:tc>
          <w:tcPr>
            <w:tcW w:w="2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clearly indicates otherwise, when used in this report “we,” “us,” “our,” “Superstar Platforms, Inc,” “Company,” or “our Company” refers to Superstar Platforms, Inc. and, if applicable, our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the Section 27A of the Securities Act of 1933, as amended (the “Securities Act”), and Section 21E of the Securities Exchange Act of 1934, as amended (the “Exchange Act”). Forward-looking statements discuss matters that are not historical facts. Because they discuss future events or conditions, forward-looking statements may include words such as “anticipate,” “believe,” “estimate,” “intend,” “could,” “should,” “would,” “may,” “seek,” “plan,” “might,” “will,” “expect,” “predict,” “project,” “forecast,” “potential,” “continue,” negatives thereof or similar expressions. These forward-looking statements are found at various places throughout this Report and include information concerning: possible or assumed future results of our operations; business strategies; future cash flows; financing plans; plans and objectives of management; any other statements regarding future operations, future cash needs, business plans and future financial results; and any other statements that are not historical facts.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forward-looking statements also are included in our other periodic reports on Form 8-K, in our press releases, in our presentations, on our website and in other materials released to the public. Any or all the forward-looking statements included in this Report and in any other reports or public statements made by us are not guarantees of future performance and may turn out to be inaccurate. These forward-looking statements represent our intentions, plans, expectations, assumptions, and beliefs about future events and are subject to risks, uncertainties, and other factors. Many of those factors are outside of our control and could cause actual results to differ materially from the results expressed or implied by those forward-looking statements. Considering these risks, uncertainties and assumptions, the events described in the forward-looking statements might not occur or might occur to a different extent or at a different time than we have described. You are cautioned not to place undue reliance on these forward-looking statements, which speak only as of the date of this Report. All subsequent written and oral forward-looking statements concerning other matters addressed in this Report and attributable to us or any person acting on our behalf are expressly qualified in their entirety by the cautionary statements contained or referred to in this Report.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law, we undertake no obligation to update or revise any forward-looking statements, whether resulting from new information, future events, a change in events, conditions, circumstances, or assumptions underlying such statements, or otherwise.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discussion of factors that we believe could cause our actual results to differ materially from expected and historical results see “ITEM 1A – RISK FACTORS” included in our most recent Form 10 Filing on Form 10-12 G/A as filed with the United States Securities and Exchange Commission on July 8,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080" w:type="dxa"/>
            <w:vAlign w:val="bottom"/>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Superstar Platforms, Inc</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80" w:type="dxa"/>
            <w:vAlign w:val="bottom"/>
          </w:tcPr>
          <w:p>
            <w:pPr>
              <w:jc w:val="center"/>
              <w:ind w:left="409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80" w:type="dxa"/>
            <w:vAlign w:val="bottom"/>
          </w:tcPr>
          <w:p>
            <w:pPr>
              <w:jc w:val="center"/>
              <w:ind w:left="40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40" w:type="dxa"/>
            <w:vAlign w:val="bottom"/>
          </w:tcPr>
          <w:p>
            <w:pPr>
              <w:spacing w:after="0"/>
              <w:rPr>
                <w:sz w:val="24"/>
                <w:szCs w:val="24"/>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Accounts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Superstar Platforms (7821) - 2</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1,240,189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Bank Accounts</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1,240,189</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Loan Receivable (L/R)</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1,323,682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7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98,321</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7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for Loan Receivable (L/R)</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1,422,003</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bottom w:val="single" w:sz="8" w:color="CCEEFF"/>
            </w:tcBorders>
          </w:tcPr>
          <w:p>
            <w:pPr>
              <w:spacing w:after="0"/>
              <w:rPr>
                <w:sz w:val="18"/>
                <w:szCs w:val="18"/>
                <w:color w:val="auto"/>
              </w:rPr>
            </w:pPr>
          </w:p>
        </w:tc>
      </w:tr>
      <w:tr>
        <w:trPr>
          <w:trHeight w:val="209"/>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Accounts Receivable</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1,422,003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shd w:val="clear" w:color="auto" w:fill="CCEEFF"/>
          </w:tcPr>
          <w:p>
            <w:pPr>
              <w:spacing w:after="0"/>
              <w:rPr>
                <w:sz w:val="18"/>
                <w:szCs w:val="18"/>
                <w:color w:val="auto"/>
              </w:rPr>
            </w:pPr>
          </w:p>
        </w:tc>
      </w:tr>
      <w:tr>
        <w:trPr>
          <w:trHeight w:val="21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Loans to officers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Loans to others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Other Current Assets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09"/>
        </w:trPr>
        <w:tc>
          <w:tcPr>
            <w:tcW w:w="7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Current Assets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2,662,192</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CEEFF"/>
            </w:tcBorders>
          </w:tcPr>
          <w:p>
            <w:pPr>
              <w:spacing w:after="0"/>
              <w:rPr>
                <w:sz w:val="18"/>
                <w:szCs w:val="18"/>
                <w:color w:val="auto"/>
              </w:rPr>
            </w:pPr>
          </w:p>
        </w:tc>
      </w:tr>
      <w:tr>
        <w:trPr>
          <w:trHeight w:val="209"/>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Assets</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2,662,192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54</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Due to Related Party</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307,674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307,674</w:t>
            </w:r>
          </w:p>
        </w:tc>
      </w:tr>
      <w:tr>
        <w:trPr>
          <w:trHeight w:val="216"/>
        </w:trPr>
        <w:tc>
          <w:tcPr>
            <w:tcW w:w="7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Notes Payable (N/P)</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2,690,000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r>
      <w:tr>
        <w:trPr>
          <w:trHeight w:val="230"/>
        </w:trPr>
        <w:tc>
          <w:tcPr>
            <w:tcW w:w="7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Salaries Payable</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828,000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660,000</w:t>
            </w:r>
          </w:p>
        </w:tc>
      </w:tr>
      <w:tr>
        <w:trPr>
          <w:trHeight w:val="210"/>
        </w:trPr>
        <w:tc>
          <w:tcPr>
            <w:tcW w:w="70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for Accounts Payable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3,825,674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1,057,674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Credit Cards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for Current Liabilities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3,825,674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1,057,674</w:t>
            </w:r>
          </w:p>
        </w:tc>
      </w:tr>
      <w:tr>
        <w:trPr>
          <w:trHeight w:val="223"/>
        </w:trPr>
        <w:tc>
          <w:tcPr>
            <w:tcW w:w="7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Liabilities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3,825,674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1,057,674</w:t>
            </w:r>
          </w:p>
        </w:tc>
      </w:tr>
      <w:tr>
        <w:trPr>
          <w:trHeight w:val="216"/>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0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180,147,046 shares issued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180,147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171,732</w:t>
            </w:r>
          </w:p>
        </w:tc>
      </w:tr>
      <w:tr>
        <w:trPr>
          <w:trHeight w:val="216"/>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258,645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270,316</w:t>
            </w: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(1,602,274)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(1,499,668)</w:t>
            </w:r>
          </w:p>
        </w:tc>
      </w:tr>
      <w:tr>
        <w:trPr>
          <w:trHeight w:val="209"/>
        </w:trPr>
        <w:tc>
          <w:tcPr>
            <w:tcW w:w="7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Equity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(1,163,482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(1,057,620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2"/>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for Liabilities and Equity</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2,662,192</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r>
      <w:tr>
        <w:trPr>
          <w:trHeight w:val="410"/>
        </w:trPr>
        <w:tc>
          <w:tcPr>
            <w:tcW w:w="7080" w:type="dxa"/>
            <w:vAlign w:val="bottom"/>
            <w:tcBorders>
              <w:bottom w:val="single" w:sz="8" w:color="auto"/>
            </w:tcBorders>
          </w:tcPr>
          <w:p>
            <w:pPr>
              <w:jc w:val="center"/>
              <w:ind w:left="4070"/>
              <w:spacing w:after="0"/>
              <w:rPr>
                <w:sz w:val="20"/>
                <w:szCs w:val="20"/>
                <w:color w:val="auto"/>
              </w:rPr>
            </w:pPr>
            <w:r>
              <w:rPr>
                <w:rFonts w:ascii="Times New Roman" w:cs="Times New Roman" w:eastAsia="Times New Roman" w:hAnsi="Times New Roman"/>
                <w:sz w:val="18"/>
                <w:szCs w:val="18"/>
                <w:color w:val="auto"/>
                <w:w w:val="95"/>
              </w:rPr>
              <w:t>F-1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5"/>
          </w:tcPr>
          <w:p>
            <w:pPr>
              <w:jc w:val="right"/>
              <w:ind w:right="1481"/>
              <w:spacing w:after="0"/>
              <w:rPr>
                <w:sz w:val="20"/>
                <w:szCs w:val="20"/>
                <w:color w:val="auto"/>
              </w:rPr>
            </w:pPr>
            <w:r>
              <w:rPr>
                <w:rFonts w:ascii="Times New Roman" w:cs="Times New Roman" w:eastAsia="Times New Roman" w:hAnsi="Times New Roman"/>
                <w:sz w:val="18"/>
                <w:szCs w:val="18"/>
                <w:b w:val="1"/>
                <w:bCs w:val="1"/>
                <w:color w:val="auto"/>
              </w:rPr>
              <w:t>3 Months Ended</w:t>
            </w:r>
          </w:p>
        </w:tc>
        <w:tc>
          <w:tcPr>
            <w:tcW w:w="200" w:type="dxa"/>
            <w:vAlign w:val="bottom"/>
          </w:tcPr>
          <w:p>
            <w:pPr>
              <w:spacing w:after="0"/>
              <w:rPr>
                <w:sz w:val="20"/>
                <w:szCs w:val="20"/>
                <w:color w:val="auto"/>
              </w:rPr>
            </w:pPr>
          </w:p>
        </w:tc>
        <w:tc>
          <w:tcPr>
            <w:tcW w:w="3580" w:type="dxa"/>
            <w:vAlign w:val="bottom"/>
            <w:gridSpan w:val="5"/>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rPr>
              <w:t>6 Months Ended</w:t>
            </w:r>
          </w:p>
        </w:tc>
      </w:tr>
      <w:tr>
        <w:trPr>
          <w:trHeight w:val="223"/>
        </w:trPr>
        <w:tc>
          <w:tcPr>
            <w:tcW w:w="3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earned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18,900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98,321</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98,321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18,900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98,321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 &amp; marketing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2,593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Health insurance &amp; accident plans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Employee benefits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business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 fees &amp; service 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Memberships &amp; subscriptions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11,666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4,289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14,865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4,289</w:t>
            </w:r>
          </w:p>
        </w:tc>
      </w:tr>
      <w:tr>
        <w:trPr>
          <w:trHeight w:val="209"/>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General business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12,391</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15,812</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Meals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2,702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Travel meals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Meals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3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2,717</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supplies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Shipping &amp; postage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&amp; apps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Office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Officers’ salaries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84,000</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168,000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Payroll expenses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84,000</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168,000</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 Fees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Legal Fees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3,126</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Consulting Fees</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Professional Service Fees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3,126</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Supplies &amp; materials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Supplies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Travel</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3,954</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100,090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200,927</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(81,190</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(102,606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(14,579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Other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(81,190</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(102,606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(14,579)</w:t>
            </w:r>
          </w:p>
        </w:tc>
        <w:tc>
          <w:tcPr>
            <w:tcW w:w="100" w:type="dxa"/>
            <w:vAlign w:val="bottom"/>
          </w:tcPr>
          <w:p>
            <w:pPr>
              <w:spacing w:after="0"/>
              <w:rPr>
                <w:sz w:val="18"/>
                <w:szCs w:val="18"/>
                <w:color w:val="auto"/>
              </w:rPr>
            </w:pPr>
          </w:p>
        </w:tc>
      </w:tr>
      <w:tr>
        <w:trPr>
          <w:trHeight w:val="425"/>
        </w:trPr>
        <w:tc>
          <w:tcPr>
            <w:tcW w:w="3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641"/>
              <w:spacing w:after="0"/>
              <w:rPr>
                <w:sz w:val="20"/>
                <w:szCs w:val="20"/>
                <w:color w:val="auto"/>
              </w:rPr>
            </w:pPr>
            <w:r>
              <w:rPr>
                <w:rFonts w:ascii="Times New Roman" w:cs="Times New Roman" w:eastAsia="Times New Roman" w:hAnsi="Times New Roman"/>
                <w:sz w:val="18"/>
                <w:szCs w:val="18"/>
                <w:color w:val="auto"/>
              </w:rPr>
              <w:t>F-2</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 AND JUNE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5"/>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2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18"/>
                <w:szCs w:val="18"/>
                <w:color w:val="auto"/>
              </w:rPr>
            </w:pPr>
          </w:p>
        </w:tc>
        <w:tc>
          <w:tcPr>
            <w:tcW w:w="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Subscribed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8"/>
        </w:trPr>
        <w:tc>
          <w:tcPr>
            <w:tcW w:w="2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4"/>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6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154,731,956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154,732</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287,268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(1,335,654)</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(893,654)</w:t>
            </w: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26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154,731,956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154,732</w:t>
            </w:r>
          </w:p>
        </w:tc>
        <w:tc>
          <w:tcPr>
            <w:tcW w:w="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287,268</w:t>
            </w:r>
          </w:p>
        </w:tc>
        <w:tc>
          <w:tcPr>
            <w:tcW w:w="78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(1,340,145)</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(898,145)</w:t>
            </w:r>
          </w:p>
        </w:tc>
      </w:tr>
      <w:tr>
        <w:trPr>
          <w:trHeight w:val="216"/>
        </w:trPr>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issed During the Period</w:t>
            </w:r>
          </w:p>
        </w:tc>
        <w:tc>
          <w:tcPr>
            <w:tcW w:w="2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(Loss) June 30, 2024</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(14,579)</w:t>
            </w: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26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166,731,956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166,732</w:t>
            </w: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(1,354,724)</w:t>
            </w: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(912,724)</w:t>
            </w:r>
          </w:p>
        </w:tc>
      </w:tr>
      <w:tr>
        <w:trPr>
          <w:trHeight w:val="20"/>
        </w:trPr>
        <w:tc>
          <w:tcPr>
            <w:tcW w:w="2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80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gridSpan w:val="20"/>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STOCKHOLDERS EQUITY -SIX MONTHS ENDED JUNE 30, 2025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2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6"/>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Additional</w:t>
            </w:r>
          </w:p>
        </w:tc>
        <w:tc>
          <w:tcPr>
            <w:tcW w:w="7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10"/>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Subscribed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8"/>
        </w:trPr>
        <w:tc>
          <w:tcPr>
            <w:tcW w:w="2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4"/>
          </w:tcPr>
          <w:p>
            <w:pPr>
              <w:spacing w:after="0"/>
              <w:rPr>
                <w:sz w:val="17"/>
                <w:szCs w:val="17"/>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5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171,731,956</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171,732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(1,499,668)</w:t>
            </w:r>
          </w:p>
        </w:tc>
        <w:tc>
          <w:tcPr>
            <w:tcW w:w="2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 (1,057,620)</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(Loss)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(81,190)</w:t>
            </w:r>
          </w:p>
        </w:tc>
      </w:tr>
      <w:tr>
        <w:trPr>
          <w:trHeight w:val="216"/>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Issued During the Period</w:t>
            </w:r>
          </w:p>
        </w:tc>
        <w:tc>
          <w:tcPr>
            <w:tcW w:w="25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4,007,145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25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175,739,101</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175,739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305,374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(1,580,858)</w:t>
            </w:r>
          </w:p>
        </w:tc>
        <w:tc>
          <w:tcPr>
            <w:tcW w:w="20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6"/>
              </w:rPr>
              <w:t>$ (1,099,745)</w:t>
            </w:r>
          </w:p>
        </w:tc>
      </w:tr>
      <w:tr>
        <w:trPr>
          <w:trHeight w:val="216"/>
        </w:trPr>
        <w:tc>
          <w:tcPr>
            <w:tcW w:w="2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issed During the Period</w:t>
            </w:r>
          </w:p>
        </w:tc>
        <w:tc>
          <w:tcPr>
            <w:tcW w:w="25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4,407,945</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 (Loss) June 30, 2025</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(102,606)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(102,606)</w:t>
            </w:r>
          </w:p>
        </w:tc>
      </w:tr>
      <w:tr>
        <w:trPr>
          <w:trHeight w:val="24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25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180,147,046</w:t>
            </w:r>
          </w:p>
        </w:tc>
        <w:tc>
          <w:tcPr>
            <w:tcW w:w="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180,147</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258,645</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(1,602,274)</w:t>
            </w:r>
          </w:p>
        </w:tc>
        <w:tc>
          <w:tcPr>
            <w:tcW w:w="20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(1,163,482)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3"/>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2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260" w:type="dxa"/>
            <w:vAlign w:val="bottom"/>
            <w:gridSpan w:val="4"/>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6 Months Ended</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19"/>
                <w:szCs w:val="19"/>
                <w:color w:val="auto"/>
              </w:rPr>
            </w:pPr>
          </w:p>
        </w:tc>
        <w:tc>
          <w:tcPr>
            <w:tcW w:w="224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9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(102,606)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(14,579)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to Related Party</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 Receivable (L/R)</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(1,323,683)</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 Receivable (L/R):Accrued Interest Receivable</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(98,321)</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to officers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 (N/P)</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2,600,000</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Salaries Payable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168,000</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for Adjustments to reconcile Net Income to Net Cash provided by operations:</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1,345,996</w:t>
            </w:r>
          </w:p>
        </w:tc>
        <w:tc>
          <w:tcPr>
            <w:tcW w:w="32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1,243,390</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(11,670)</w:t>
            </w:r>
          </w:p>
        </w:tc>
        <w:tc>
          <w:tcPr>
            <w:tcW w:w="2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14,561</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8,415</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(3,255)</w:t>
            </w:r>
          </w:p>
        </w:tc>
        <w:tc>
          <w:tcPr>
            <w:tcW w:w="2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14,561</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INCREASE FOR PERIOD</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1,240,135</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2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1,240,189</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80" w:type="dxa"/>
            <w:vAlign w:val="bottom"/>
            <w:tcBorders>
              <w:bottom w:val="single" w:sz="8" w:color="auto"/>
            </w:tcBorders>
            <w:vMerge w:val="continue"/>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1A-Notes to Unaudited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Reviewed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Period Ended June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ORGANIZATION AND BUSINESS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(the “Company”) was incorporated on March 27, 2025 under the laws of the state of Nevada. , a leading national technology conglomerate, is the parent company that will owns and controls a diversified portfolio of subsidiaries across various industries. Growth will primarily be driven through strategic acquisitions.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GOING CONCERN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statements as of June 30, 2025 have been prepared using generally accepted accounting principles in the United States of America applicable to a going concern, which contemplates the realization of assets and liquidation of liabilities in the normal course of business. The Company has accumulated deficit of $(1,602,274) as of June 30, 2025, the company currently does not have a business operation, these factors raise substantial doubt about company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June 30, 2025. Fair values were assumed to approximate carrying values for these financial instruments as either they do not have any active market or are short term in nature and therefore their carrying amounts approximate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period ended June 30, 2025, the Company did not have any interest and penalties associated with tax positions. As of June 30, 2025, the Company did not have any significant unrecognized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 ASC 450, subtopic 450-20 of the FASB Accounting Standards Codification to report accounting for contingencies and commitments respectively. 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a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directly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is recognized upon loaning the money to the customer and is calculated on a monthly basis at the rate of 2% simple interest on the loan amount receivable from the customer.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as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common stock outstanding of 180,147,046 as of 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SUBSEQUENT EVENTS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DISCUSSION OF OUR PLAN OF OPERATION AND RESULTS OF OPERATIONS SHOULD BE READ IN CONJUNCTION WITH THE FINANCIAL STATEMENTS AND RELATED NOTES TO THE FINANCIAL STATEMENTS INCLUDED ELSEWHERE IN THIS REPORT. THIS DISCUSSION CONTAINS FORWARD-LOOKING STATEMENTS THAT RELATE TO FUTURE EVENTS OR OUR FUTURE FINANCIAL PERFORMANCE.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THESE FORWARD-LOOKING STATEMENTS ARE SUBJECT TO NUMEROUS RISKS AND UNCERTAINTIES, INCLUDING OUR ABILITY TO COMMERCIALIZE NEW PRODUCTS, HIRE AND RETAIN KEY PERSONNEL, AND SECURE SUFFICIENT FUNDING TO EXECUTE OUR GROWTH PLAN. IF OUR ASSUMPTIONS REGARDING PLANNED EXPENDITURES OR REVENUE GENERATION PROVE INACCURATE, WE MAY NEED TO ADJUST OUR STRATEGIC TIMELINE OR RESOURCE ALLOCATION,WHILE WE BELIEVE THESE PATENTS PROVIDE MEANINGFUL PROTECTION FOR CERTAIN ASPECTS OF OUR TECHNOLOGY, THERE IS NO GUARANTEE THAT THEY WILL PREVENT ALL COMPETITORS FROM DEVELOPING SIMILAR PRODUCTS, FAILURE TO COMPLY WITH THE FAMILY EDUCATIONAL RIGHTS AND PRIVACY ACT (“FERPA”) COULD LIMIT OR DELAY OUR ABILITY TO DEPLOY SAFESCHOOL™ IN CERTAIN JURISDICTIONS, IMPACT CUSTOMER ADOPTION, OR EXPOSE THE COMPANY TO REGULATORY RISK AND OTHER FACTORS INCLUDE, AMONG OTHERS, THOSE LISTED UNDER “FORWARD-LOOKING STATEMENTS” AND “RISK FACTORS” AND THOSE INCLUDED ELSEWHERE IN THIS REPORT.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The Company operated as Dinewise, Inc until March 2025 when it changed its name to Superstar Platforms Inc. Superstar Platforms, will be a leading national technology conglomerate that will control a diversified portfolio of subsidiaries across various industries. Superstar Platforms will also lend to small businesses. Growth will primarily be driven through strategic acquisitions. Currently Superstar Platforms has no affiliated or subsidiary companies.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Overview of Business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operated as Dinewise Inc. until March 27, 2025 when it changed its name to Superstar Platforms Inc. There are currently no affiliated companies as of August 15,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Market Outlook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global technology sector is projected to surpass 5.5 trillion in 2025. Superstar Platforms, Inc is driven by accelerated demand for AI, cloud computing, cyber security, and fintech solutions. While macroeconomic and regulatory risks persist, well-diversified and innovative tech conglomerates are well-positioned to capitalize on digital transformation and sustained investment in technology infrastructure.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small lending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27, 2025 when it changed its name to Superstar Platforms Inc. As of August 15, 2025 The Company was authorized to issue one billion of common stock with 180,147,046 issued and outstanding. The company has issued 4,407,945 since the Quarterly Report for the period ending March 31, 2025. In 2022, the Company issued 34,000,000 shares for debt conversions. In 2023, the Company issued 13,000,000 shares for debt conversion. In 2024, the Company issued 17,000,000 for debt conversions. There is no preferred stock. The Company may require additional funding for ongoing operations in the future. There is no guarantee that we will be able to raise any additional capital and have no current arrangements for any such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2025, and June 30,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six months ending June 30, 2025, and 2024, respectively, and provides information regarding the dollar and percentage increase or (decrease) from the current year to the prior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net profit of$ (102,606) for the six months ending June 30, 2025, as compared with revenue of $(14,579) for the six months ending June 30, 2024. The increased loss was primarily driven by operating expenses and payroll.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totaled $(200,927) for the six months ending June 30, 2025, compared to $(14,579) for the three months ending June 30, 2024, an increase of $186,348 or 1706%. The main reason for the increase was an increase in payroll expense.</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Line item</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6/30/25</w:t>
            </w:r>
          </w:p>
        </w:tc>
        <w:tc>
          <w:tcPr>
            <w:tcW w:w="2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6/30/24</w:t>
            </w:r>
          </w:p>
        </w:tc>
        <w:tc>
          <w:tcPr>
            <w:tcW w:w="140" w:type="dxa"/>
            <w:vAlign w:val="bottom"/>
          </w:tcPr>
          <w:p>
            <w:pPr>
              <w:spacing w:after="0"/>
              <w:rPr>
                <w:sz w:val="20"/>
                <w:szCs w:val="20"/>
                <w:color w:val="auto"/>
              </w:rPr>
            </w:pPr>
          </w:p>
        </w:tc>
        <w:tc>
          <w:tcPr>
            <w:tcW w:w="1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Increase/Decrease</w:t>
            </w: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Increase/Decrease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98,321</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(200,927)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(14,579)</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(186,348)</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(102,606)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(14,579)</w:t>
            </w:r>
          </w:p>
        </w:tc>
        <w:tc>
          <w:tcPr>
            <w:tcW w:w="1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(88,027)</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Profit per share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(.0.0006)</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(0.00008)</w:t>
            </w:r>
          </w:p>
        </w:tc>
        <w:tc>
          <w:tcPr>
            <w:tcW w:w="16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(0.00056)</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30,2025, and December 31, 2024, we had total assets of $2,440,304 and $54, working capital of $1,240,189 and $54 and an accumulated deficit of $(1,614,849) and $1,335.654 respectively. Our operating activities used $1,243,390 in cash for the six months ending June 30, 2025, compared to net cash used in operations of $0 for the six months ended June 30, 2024. Our revenues were $98,321 for the six months ending June 30, 2025, and $0 for the six months ending June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cash will be sufficient to fund all Company obligations and commitments for the next twelve months. Historically, we have depended on equity offerings and loans from our principal shareholders and their affiliated companies to provide us with working capital as required. There is no guarantee that such funding will be available when required and there can be no assurance that our stockholders, or any of them, will continue making loans or advances to us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Company had an outstanding loan balance of $307,674 from a related party. The original note was $270,000, with accrued interest totaling $293,200. The note was due on December 31, 2021. In addition, the Company began lending to small businesses and, as of June 30, 2025, had loan receivables totaling $1, 323,683. These loans bear interest at an annual rate of 24%, and collections from these receivables are expected to support the Company’s liquidity and ongoing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 Balance Sheet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not affected by seasonality.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 but can also have increased defaults on loans when the economy is down.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109" w:gutter="0" w:footer="0" w:header="0"/>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we have carried out an evaluation of the effectiveness of our disclosure controls and procedures as of the end of the period covered by this quarterly report, June 30, 2025. This evaluation was carried out by our Chief Executive Officer.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Disclosure controls and procedures include controls and procedures designed to ensure that information required to be disclosed in our company’s reports filed under the Securities Exchange Act of 1934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that evaluation, including our Chief Executive Officer, we have concluded that our disclosure controls and procedures were ineffective as of the end of the period covered by this report due to a material weakness in our internal control over financial reporting, which is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Management has assessed the effectiveness of our internal control over financial reporting as of June 30, 2025 based on criteria established in Internal Control-Integrated Framework issued by the Committee of Sponsoring Organizations of the Treadway Commission. As a result of this assessment, management concluded that, as of June 30, 2025, our internal control over financial reporting was not effective. Our management identified the following material weaknesses in our internal control over financial reporting, which are indicative of many small companies with small staff:</w:t>
      </w:r>
    </w:p>
    <w:p>
      <w:pPr>
        <w:spacing w:after="0" w:line="3" w:lineRule="exact"/>
        <w:rPr>
          <w:sz w:val="20"/>
          <w:szCs w:val="20"/>
          <w:color w:val="auto"/>
        </w:rPr>
      </w:pPr>
    </w:p>
    <w:p>
      <w:pPr>
        <w:ind w:right="20" w:firstLine="8"/>
        <w:spacing w:after="0" w:line="260"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segregation of duties and effective risk assessment. and (ii) insufficient written policies and procedures for accounting and financial reporting with respect to the requirements and application of both US GAAP and SEC guidelines.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plan to take steps to enhance and improve the design of our internal control over financial reporting. During the period covered by this quarterly report on Form 10-Q, we have not been able to remediate the material weaknesses identified above. To remediate such weaknesses, we hope to implement the following changes during our fiscal year ending December 31, 2025: (i) appoint additional qualified personnel to address inadequate segregation of duties and ineffective risk management; and (ii) adopt sufficient written policies and procedures for accounting and financial reporting. The remediation efforts set out in (i) and (ii) are largely dependent upon our securing additional financing to cover the costs of implementing the changes required. If we are unsuccessful in securing such funds, remediation efforts may be adversely affected in a material manner.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certain extent, the size of our operation provides inherent checks and balances relative to internal controls: Because of our limited staff size and the integration of our executives and directors in operations, the prospect for significant internal control failures resulting in unreliable financial statements or worse is remote. Regardless, we recognize the importance of multiple layers of reporting and controls and are working toward improving our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most recently completed fiscal quarter that has materially affected, or is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know of no pending legal proceedings to which we are a party, either individually or in the aggregate. We are from time to time, during the normal course of our business operations, subject to various litigation claims and legal disputes. There are no such claims or disputes pending at this time and we have not been notified of any possible claims or disputes.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issued Two-Million four hundred seven thousand nine hundred forty five (2,407,945) shares of unregistered common stock for $54,000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senior securities, but has outstanding instruments previously characterized as unsecured convertible debentures. These instruments are not senior to any other Company obligation. A Company insider holds the note. The original note was $270,000.00 but the principal as of June 31, 2025 was $226,000.00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to add.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0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Section 302 of the Sarbanes-Oxley Act of 2002*</w:t>
            </w:r>
          </w:p>
        </w:tc>
        <w:tc>
          <w:tcPr>
            <w:tcW w:w="3080" w:type="dxa"/>
            <w:vAlign w:val="bottom"/>
            <w:tcBorders>
              <w:top w:val="single" w:sz="8" w:color="auto"/>
            </w:tcBorders>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Section 302 of the Sarbanes-Oxley Act of 2002*</w:t>
            </w: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2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7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Chief Executive Officer Certification pursuant to Section 906 of the Sarbanes-Oxley Act of 2002*</w:t>
            </w:r>
          </w:p>
        </w:tc>
        <w:tc>
          <w:tcPr>
            <w:tcW w:w="3080" w:type="dxa"/>
            <w:vAlign w:val="bottom"/>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Chief Financial Officer Certification pursuant to Section 906 of the Sarbanes-Oxley Act of 2002*</w:t>
            </w:r>
          </w:p>
        </w:tc>
      </w:tr>
      <w:tr>
        <w:trPr>
          <w:trHeight w:val="20"/>
        </w:trPr>
        <w:tc>
          <w:tcPr>
            <w:tcW w:w="1080" w:type="dxa"/>
            <w:vAlign w:val="bottom"/>
            <w:gridSpan w:val="2"/>
          </w:tcPr>
          <w:p>
            <w:pPr>
              <w:spacing w:after="0" w:line="20" w:lineRule="exact"/>
              <w:rPr>
                <w:sz w:val="1"/>
                <w:szCs w:val="1"/>
                <w:color w:val="auto"/>
              </w:rPr>
            </w:pPr>
          </w:p>
        </w:tc>
        <w:tc>
          <w:tcPr>
            <w:tcW w:w="7020" w:type="dxa"/>
            <w:vAlign w:val="bottom"/>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r>
      <w:tr>
        <w:trPr>
          <w:trHeight w:val="43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80" w:right="3600" w:hanging="5572"/>
        <w:spacing w:after="0" w:line="532" w:lineRule="auto"/>
        <w:tabs>
          <w:tab w:leader="none" w:pos="10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18,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SUPERSTAR PLATFORMS, INC.OFFICER’S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SUPERSTAR PLATFORMS, INC.OFFICER’S CERTIFICATE PURSUANT TO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Farr., certify that:</w:t>
      </w:r>
    </w:p>
    <w:p>
      <w:pPr>
        <w:spacing w:after="0" w:line="225"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Superstar Platforms,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6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which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period ended June 30, 2025, as filed with the Securities and Exchange Commission on the date hereof (the Report), I, Michael Farr., Principal Executive Officer of the Company, certify, pursuant to 18 U.S.C. §1350, as adopted pursuant to Section 906 of the Sarbanes-Oxley Act of 2002,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jc w:val="center"/>
        <w:ind w:left="340" w:right="140"/>
        <w:spacing w:after="0" w:line="282" w:lineRule="auto"/>
        <w:rPr>
          <w:sz w:val="20"/>
          <w:szCs w:val="20"/>
          <w:color w:val="auto"/>
        </w:rPr>
      </w:pPr>
      <w:r>
        <w:rPr>
          <w:rFonts w:ascii="Times New Roman" w:cs="Times New Roman" w:eastAsia="Times New Roman" w:hAnsi="Times New Roman"/>
          <w:sz w:val="18"/>
          <w:szCs w:val="18"/>
          <w:color w:val="auto"/>
        </w:rPr>
        <w:t>SUPERSTAR PLATFROMS, INC.CERTIFICATION PURSUANT TO 18 U.S.C. SECTION 1350,AS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Superstar Platforms, Inc. (the Registrant) on Form 10-Q for the period ended June 30, 2025, as filed with the Securities and Exchange Commission on the date hereof (the Report), I, Michael Farr., Principal Accounting Officer of the Company, certify, pursuant to 18 U.S.C. §1350, as adopted pursuant to Section 906 of the Sarbanes-Oxley Act of 2002, that:</w:t>
      </w:r>
    </w:p>
    <w:p>
      <w:pPr>
        <w:spacing w:after="0" w:line="203" w:lineRule="exact"/>
        <w:rPr>
          <w:sz w:val="20"/>
          <w:szCs w:val="20"/>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9" w:lineRule="exact"/>
        <w:rPr>
          <w:rFonts w:ascii="Times New Roman" w:cs="Times New Roman" w:eastAsia="Times New Roman" w:hAnsi="Times New Roman"/>
          <w:sz w:val="18"/>
          <w:szCs w:val="18"/>
          <w:color w:val="auto"/>
        </w:rPr>
      </w:pPr>
    </w:p>
    <w:p>
      <w:pPr>
        <w:ind w:left="380" w:hanging="345"/>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Michael Farr and will be retained by Superstar Platforms, Inc.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Farr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4"/>
      <w:numFmt w:val="bullet"/>
      <w:start w:val="1"/>
    </w:lvl>
    <w:lvl w:ilvl="1">
      <w:lvlJc w:val="left"/>
      <w:lvlText w:val="%2."/>
      <w:numFmt w:val="lowerLetter"/>
      <w:start w:val="1"/>
    </w:lvl>
  </w:abstractNum>
  <w:abstractNum w:abstractNumId="6">
    <w:nsid w:val="79E2A9E3"/>
    <w:multiLevelType w:val="hybridMultilevel"/>
    <w:lvl w:ilvl="0">
      <w:lvlJc w:val="left"/>
      <w:lvlText w:val="%1."/>
      <w:numFmt w:val="decimal"/>
      <w:start w:val="5"/>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2025-08-19T15:47:58Z</dcterms:created>
  <dcterms:modified xsi:type="dcterms:W3CDTF">2025-08-19T15:47:58Z</dcterms:modified>
</cp:coreProperties>
</file>