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FORM10-Q</w:t>
      </w:r>
    </w:p>
    <w:p>
      <w:pPr>
        <w:spacing w:after="0" w:line="237" w:lineRule="exact"/>
        <w:rPr>
          <w:sz w:val="24"/>
          <w:szCs w:val="24"/>
          <w:color w:val="auto"/>
        </w:rPr>
      </w:pPr>
    </w:p>
    <w:p>
      <w:pPr>
        <w:jc w:val="center"/>
        <w:ind w:left="3660" w:right="940" w:hanging="2712"/>
        <w:spacing w:after="0" w:line="500" w:lineRule="auto"/>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600" w:right="940" w:hanging="2657"/>
        <w:spacing w:after="0" w:line="500" w:lineRule="auto"/>
        <w:tabs>
          <w:tab w:leader="none" w:pos="114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 to ________</w:t>
      </w:r>
    </w:p>
    <w:p>
      <w:pPr>
        <w:spacing w:after="0" w:line="1" w:lineRule="exact"/>
        <w:rPr>
          <w:rFonts w:ascii="MS PGothic" w:cs="MS PGothic" w:eastAsia="MS PGothic" w:hAnsi="MS PGothic"/>
          <w:sz w:val="18"/>
          <w:szCs w:val="18"/>
          <w:color w:val="auto"/>
          <w:highlight w:val="black"/>
        </w:rPr>
      </w:pPr>
    </w:p>
    <w:p>
      <w:pPr>
        <w:ind w:left="42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w:t>
      </w:r>
      <w:r>
        <w:rPr>
          <w:rFonts w:ascii="Times New Roman" w:cs="Times New Roman" w:eastAsia="Times New Roman" w:hAnsi="Times New Roman"/>
          <w:sz w:val="18"/>
          <w:szCs w:val="18"/>
          <w:u w:val="single" w:color="auto"/>
          <w:color w:val="auto"/>
        </w:rPr>
        <w:t>000-56744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Superstar Platforms,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01-0741042</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586 Cobb Parkway S Suite 900Marietta,GA30060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ectPr>
          <w:pgSz w:w="11900" w:h="16838" w:orient="portrait"/>
          <w:cols w:equalWidth="0" w:num="1">
            <w:col w:w="11240"/>
          </w:cols>
          <w:pgMar w:left="320" w:top="740"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(650)228-0680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12(b)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2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66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there were 182,289,904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80" w:type="dxa"/>
            <w:vAlign w:val="bottom"/>
            <w:gridSpan w:val="4"/>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20" w:type="dxa"/>
            <w:vAlign w:val="bottom"/>
          </w:tcPr>
          <w:p>
            <w:pPr>
              <w:spacing w:after="0"/>
              <w:rPr>
                <w:sz w:val="20"/>
                <w:szCs w:val="20"/>
                <w:color w:val="auto"/>
              </w:rPr>
            </w:pPr>
          </w:p>
        </w:tc>
      </w:tr>
      <w:tr>
        <w:trPr>
          <w:trHeight w:val="216"/>
        </w:trPr>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89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2320" w:type="dxa"/>
            <w:vAlign w:val="bottom"/>
            <w:shd w:val="clear" w:color="auto" w:fill="CCEEFF"/>
          </w:tcPr>
          <w:p>
            <w:pPr>
              <w:spacing w:after="0"/>
              <w:rPr>
                <w:sz w:val="18"/>
                <w:szCs w:val="18"/>
                <w:color w:val="auto"/>
              </w:rPr>
            </w:pPr>
          </w:p>
        </w:tc>
      </w:tr>
      <w:tr>
        <w:trPr>
          <w:trHeight w:val="176"/>
        </w:trPr>
        <w:tc>
          <w:tcPr>
            <w:tcW w:w="89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2320" w:type="dxa"/>
            <w:vAlign w:val="bottom"/>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76"/>
        </w:trPr>
        <w:tc>
          <w:tcPr>
            <w:tcW w:w="89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Notes to Unaudited Financial Statements</w:t>
            </w:r>
          </w:p>
        </w:tc>
        <w:tc>
          <w:tcPr>
            <w:tcW w:w="232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9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2320" w:type="dxa"/>
            <w:vAlign w:val="bottom"/>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4000" w:type="dxa"/>
            <w:vAlign w:val="bottom"/>
            <w:tcBorders>
              <w:bottom w:val="single" w:sz="8" w:color="CCEEFF"/>
            </w:tcBorders>
            <w:gridSpan w:val="3"/>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89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2320" w:type="dxa"/>
            <w:vAlign w:val="bottom"/>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89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 OTHER INFORMATION</w:t>
            </w:r>
          </w:p>
        </w:tc>
        <w:tc>
          <w:tcPr>
            <w:tcW w:w="232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266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6260" w:type="dxa"/>
            <w:vAlign w:val="bottom"/>
            <w:tcBorders>
              <w:top w:val="single" w:sz="8" w:color="CCEEFF"/>
            </w:tcBorders>
            <w:gridSpan w:val="7"/>
          </w:tcPr>
          <w:p>
            <w:pPr>
              <w:spacing w:after="0"/>
              <w:rPr>
                <w:sz w:val="15"/>
                <w:szCs w:val="15"/>
                <w:color w:val="auto"/>
              </w:rPr>
            </w:pPr>
          </w:p>
        </w:tc>
        <w:tc>
          <w:tcPr>
            <w:tcW w:w="2320" w:type="dxa"/>
            <w:vAlign w:val="bottom"/>
            <w:tcBorders>
              <w:top w:val="single" w:sz="8" w:color="CCEEFF"/>
            </w:tcBorders>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75"/>
        </w:trPr>
        <w:tc>
          <w:tcPr>
            <w:tcW w:w="89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232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9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320" w:type="dxa"/>
            <w:vAlign w:val="bottom"/>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2400" w:type="dxa"/>
            <w:vAlign w:val="bottom"/>
            <w:tcBorders>
              <w:bottom w:val="single" w:sz="8" w:color="0000EE"/>
            </w:tcBorders>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5980" w:type="dxa"/>
            <w:vAlign w:val="bottom"/>
            <w:tcBorders>
              <w:bottom w:val="single" w:sz="8" w:color="CCEEFF"/>
            </w:tcBorders>
            <w:gridSpan w:val="6"/>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380" w:type="dxa"/>
            <w:vAlign w:val="bottom"/>
            <w:gridSpan w:val="14"/>
          </w:tcPr>
          <w:p>
            <w:pPr>
              <w:ind w:left="2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2320" w:type="dxa"/>
            <w:vAlign w:val="bottom"/>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38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232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54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1380" w:type="dxa"/>
            <w:vAlign w:val="bottom"/>
            <w:tcBorders>
              <w:top w:val="single" w:sz="8" w:color="0000EE"/>
            </w:tcBorders>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000" w:type="dxa"/>
            <w:vAlign w:val="bottom"/>
            <w:tcBorders>
              <w:top w:val="single" w:sz="8" w:color="CCEEFF"/>
            </w:tcBorders>
            <w:gridSpan w:val="10"/>
          </w:tcPr>
          <w:p>
            <w:pPr>
              <w:spacing w:after="0"/>
              <w:rPr>
                <w:sz w:val="15"/>
                <w:szCs w:val="15"/>
                <w:color w:val="auto"/>
              </w:rPr>
            </w:pPr>
          </w:p>
        </w:tc>
        <w:tc>
          <w:tcPr>
            <w:tcW w:w="2320" w:type="dxa"/>
            <w:vAlign w:val="bottom"/>
            <w:tcBorders>
              <w:top w:val="single" w:sz="8" w:color="CCEEFF"/>
            </w:tcBorders>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89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32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432"/>
        </w:trPr>
        <w:tc>
          <w:tcPr>
            <w:tcW w:w="5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5960" w:type="dxa"/>
            <w:vAlign w:val="bottom"/>
            <w:tcBorders>
              <w:top w:val="single" w:sz="8" w:color="CCEEFF"/>
              <w:bottom w:val="single" w:sz="8" w:color="auto"/>
            </w:tcBorders>
            <w:gridSpan w:val="12"/>
          </w:tcPr>
          <w:p>
            <w:pPr>
              <w:jc w:val="right"/>
              <w:ind w:right="1400"/>
              <w:spacing w:after="0"/>
              <w:rPr>
                <w:sz w:val="20"/>
                <w:szCs w:val="20"/>
                <w:color w:val="auto"/>
              </w:rPr>
            </w:pPr>
            <w:r>
              <w:rPr>
                <w:rFonts w:ascii="Times New Roman" w:cs="Times New Roman" w:eastAsia="Times New Roman" w:hAnsi="Times New Roman"/>
                <w:sz w:val="18"/>
                <w:szCs w:val="18"/>
                <w:color w:val="auto"/>
              </w:rPr>
              <w:t>2</w:t>
            </w:r>
          </w:p>
        </w:tc>
        <w:tc>
          <w:tcPr>
            <w:tcW w:w="1860" w:type="dxa"/>
            <w:vAlign w:val="bottom"/>
            <w:tcBorders>
              <w:top w:val="single" w:sz="8" w:color="CCEEFF"/>
              <w:bottom w:val="single" w:sz="8" w:color="auto"/>
            </w:tcBorders>
          </w:tcPr>
          <w:p>
            <w:pPr>
              <w:spacing w:after="0"/>
              <w:rPr>
                <w:sz w:val="24"/>
                <w:szCs w:val="24"/>
                <w:color w:val="auto"/>
              </w:rPr>
            </w:pPr>
          </w:p>
        </w:tc>
        <w:tc>
          <w:tcPr>
            <w:tcW w:w="23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clearly indicates otherwise, when used in this report “we,” “us,” “our,” “Superstar Platforms, Inc,” “Company,” or “our Company” refers to Superstar Platforms, Inc. and, if applicable, our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within the meaning of the Section 27A of the Securities Act of 1933, as amended (the “Securities Act”), and Section 21E of the Securities Exchange Act of 1934, as amended (the “Exchange Act”). Forward-looking statements discuss matters that are not historical facts. Because they discuss future events or conditions, forward-looking statements may include words such as “anticipate,” “believe,” “estimate,” “intend,” “could,” “should,” “would,” “may,” “seek,” “plan,” “might,” “will,” “expect,” “predict,” “project,” “forecast,” “potential,” “continue,” negatives thereof or similar expressions. These forward-looking statements are found at various places throughout this Report and include information concerning: possible or assumed future results of our operations; business strategies; future cash flows; financing plans; plans and objectives of management; any other statements regarding future operations, future cash needs, business plans and future financial results; and any other statements that are not historical facts.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forward-looking statements also are included in our other periodic reports on Form 8-K, in our press releases, in our presentations, on our website and in other materials released to the public. Any or all the forward-looking statements included in this Report and in any other reports or public statements made by us are not guarantees of future performance and may turn out to be inaccurate. These forward-looking statements represent our intentions, plans, expectations, assumptions, and beliefs about future events and are subject to risks, uncertainties, and other factors. Many of those factors are outside of our control and could cause actual results to differ materially from the results expressed or implied by those forward-looking statements. Considering these risks, uncertainties and assumptions, the events described in the forward-looking statements might not occur or might occur to a different extent or at a different time than we have described. You are cautioned not to place undue reliance on these forward-looking statements, which speak only as of the date of this Report. All subsequent written and oral forward-looking statements concerning other matters addressed in this Report and attributable to us or any person acting on our behalf are expressly qualified in their entirety by the cautionary statements contained or referred to in this Report.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to the extent required by law, we undertake no obligation to update or revise any forward-looking statements, whether resulting from new information, future events, a change in events, conditions, circumstances, or assumptions underlying such statements, or otherwise.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discussion of factors that we believe could cause our actual results to differ materially from expected and historical results see “ITEM 1A – RISK FACTORS” included in our most recent Form 10 Filing on Form 10-12 G/A as filed with the United States Securities and Exchange Commission on July 8,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820" w:type="dxa"/>
            <w:vAlign w:val="bottom"/>
          </w:tcPr>
          <w:p>
            <w:pPr>
              <w:jc w:val="center"/>
              <w:ind w:left="433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20" w:type="dxa"/>
            <w:vAlign w:val="bottom"/>
          </w:tcPr>
          <w:p>
            <w:pPr>
              <w:jc w:val="center"/>
              <w:ind w:left="4350"/>
              <w:spacing w:after="0"/>
              <w:rPr>
                <w:sz w:val="20"/>
                <w:szCs w:val="20"/>
                <w:color w:val="auto"/>
              </w:rPr>
            </w:pPr>
            <w:r>
              <w:rPr>
                <w:rFonts w:ascii="Times New Roman" w:cs="Times New Roman" w:eastAsia="Times New Roman" w:hAnsi="Times New Roman"/>
                <w:sz w:val="18"/>
                <w:szCs w:val="18"/>
                <w:b w:val="1"/>
                <w:bCs w:val="1"/>
                <w:color w:val="auto"/>
                <w:w w:val="99"/>
              </w:rPr>
              <w:t>Superstar Platforms, Inc</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820" w:type="dxa"/>
            <w:vAlign w:val="bottom"/>
          </w:tcPr>
          <w:p>
            <w:pPr>
              <w:jc w:val="center"/>
              <w:ind w:left="43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Accounts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25,079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68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for Bank Accounts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Loan Receivable (L/R)</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2,511,083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248,986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8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for Loan Receivable (L/R)</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2,760,069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for Accounts Receivable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2,760,069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Current Assets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2,785,148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shd w:val="clear" w:color="auto" w:fill="CCEEFF"/>
          </w:tcPr>
          <w:p>
            <w:pPr>
              <w:spacing w:after="0"/>
              <w:rPr>
                <w:sz w:val="18"/>
                <w:szCs w:val="18"/>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2,785,148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Due to Related Party</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307,674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307,674</w:t>
            </w:r>
          </w:p>
        </w:tc>
      </w:tr>
      <w:tr>
        <w:trPr>
          <w:trHeight w:val="216"/>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Notes Payable (N/P)</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2,590,000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90,000</w:t>
            </w:r>
          </w:p>
        </w:tc>
      </w:tr>
      <w:tr>
        <w:trPr>
          <w:trHeight w:val="229"/>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Salaries Payable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912,000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660,000</w:t>
            </w:r>
          </w:p>
        </w:tc>
      </w:tr>
      <w:tr>
        <w:trPr>
          <w:trHeight w:val="210"/>
        </w:trPr>
        <w:tc>
          <w:tcPr>
            <w:tcW w:w="68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Total for Accounts Payable</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3,809,674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1,057,674</w:t>
            </w:r>
          </w:p>
        </w:tc>
        <w:tc>
          <w:tcPr>
            <w:tcW w:w="100" w:type="dxa"/>
            <w:vAlign w:val="bottom"/>
            <w:tcBorders>
              <w:bottom w:val="single" w:sz="8" w:color="CCEEFF"/>
            </w:tcBorders>
          </w:tcPr>
          <w:p>
            <w:pPr>
              <w:spacing w:after="0"/>
              <w:rPr>
                <w:sz w:val="18"/>
                <w:szCs w:val="18"/>
                <w:color w:val="auto"/>
              </w:rPr>
            </w:pPr>
          </w:p>
        </w:tc>
      </w:tr>
      <w:tr>
        <w:trPr>
          <w:trHeight w:val="20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for Current Liabilities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3,809,674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1,057,674</w:t>
            </w:r>
          </w:p>
        </w:tc>
        <w:tc>
          <w:tcPr>
            <w:tcW w:w="100" w:type="dxa"/>
            <w:vAlign w:val="bottom"/>
            <w:shd w:val="clear" w:color="auto" w:fill="CCEEFF"/>
          </w:tcPr>
          <w:p>
            <w:pPr>
              <w:spacing w:after="0"/>
              <w:rPr>
                <w:sz w:val="18"/>
                <w:szCs w:val="18"/>
                <w:color w:val="auto"/>
              </w:rPr>
            </w:pPr>
          </w:p>
        </w:tc>
      </w:tr>
      <w:tr>
        <w:trPr>
          <w:trHeight w:val="210"/>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Liabilities</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3,809,674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1,057,674</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1,000,000,000 shares authorized, 182,289,904 shares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182,290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171,732</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349,090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270,316</w:t>
            </w: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(1,555,906)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(1,499,668)</w:t>
            </w:r>
          </w:p>
        </w:tc>
      </w:tr>
      <w:tr>
        <w:trPr>
          <w:trHeight w:val="210"/>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Equity</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(1,024,526</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(1,057,620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2"/>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for Liabilities and Equity</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2,785,148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20"/>
                <w:szCs w:val="20"/>
                <w:color w:val="auto"/>
              </w:rPr>
            </w:pPr>
          </w:p>
        </w:tc>
      </w:tr>
      <w:tr>
        <w:trPr>
          <w:trHeight w:val="410"/>
        </w:trPr>
        <w:tc>
          <w:tcPr>
            <w:tcW w:w="6820" w:type="dxa"/>
            <w:vAlign w:val="bottom"/>
            <w:tcBorders>
              <w:bottom w:val="single" w:sz="8" w:color="auto"/>
            </w:tcBorders>
          </w:tcPr>
          <w:p>
            <w:pPr>
              <w:jc w:val="center"/>
              <w:ind w:left="4330"/>
              <w:spacing w:after="0"/>
              <w:rPr>
                <w:sz w:val="20"/>
                <w:szCs w:val="20"/>
                <w:color w:val="auto"/>
              </w:rPr>
            </w:pPr>
            <w:r>
              <w:rPr>
                <w:rFonts w:ascii="Times New Roman" w:cs="Times New Roman" w:eastAsia="Times New Roman" w:hAnsi="Times New Roman"/>
                <w:sz w:val="18"/>
                <w:szCs w:val="18"/>
                <w:color w:val="auto"/>
                <w:w w:val="95"/>
              </w:rPr>
              <w:t>F-1</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gridSpan w:val="5"/>
          </w:tcPr>
          <w:p>
            <w:pPr>
              <w:jc w:val="right"/>
              <w:ind w:right="1281"/>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3320" w:type="dxa"/>
            <w:vAlign w:val="bottom"/>
            <w:gridSpan w:val="6"/>
          </w:tcPr>
          <w:p>
            <w:pPr>
              <w:jc w:val="right"/>
              <w:ind w:right="1001"/>
              <w:spacing w:after="0"/>
              <w:rPr>
                <w:sz w:val="20"/>
                <w:szCs w:val="20"/>
                <w:color w:val="auto"/>
              </w:rPr>
            </w:pPr>
            <w:r>
              <w:rPr>
                <w:rFonts w:ascii="Times New Roman" w:cs="Times New Roman" w:eastAsia="Times New Roman" w:hAnsi="Times New Roman"/>
                <w:sz w:val="18"/>
                <w:szCs w:val="18"/>
                <w:b w:val="1"/>
                <w:bCs w:val="1"/>
                <w:color w:val="auto"/>
              </w:rPr>
              <w:t>9 Months Ended</w:t>
            </w:r>
          </w:p>
        </w:tc>
      </w:tr>
      <w:tr>
        <w:trPr>
          <w:trHeight w:val="187"/>
        </w:trPr>
        <w:tc>
          <w:tcPr>
            <w:tcW w:w="3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16"/>
                <w:szCs w:val="16"/>
                <w:color w:val="auto"/>
              </w:rPr>
            </w:pPr>
          </w:p>
        </w:tc>
        <w:tc>
          <w:tcPr>
            <w:tcW w:w="164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38"/>
        </w:trPr>
        <w:tc>
          <w:tcPr>
            <w:tcW w:w="36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earned</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150,665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248,986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Income</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150,665</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248,986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150,665</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248,986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&amp; marketing</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7,728</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licenses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404</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Health insurance &amp; accident plans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Employee benefits</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Entertainment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business expenses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Bank fees &amp; service charges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45</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Memberships &amp; subscriptions</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6,133</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3780</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8,069</w:t>
            </w:r>
          </w:p>
        </w:tc>
      </w:tr>
      <w:tr>
        <w:trPr>
          <w:trHeight w:val="209"/>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General business expenses</w:t>
            </w:r>
          </w:p>
        </w:tc>
        <w:tc>
          <w:tcPr>
            <w:tcW w:w="6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6,133</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3825.00</w:t>
            </w:r>
          </w:p>
        </w:tc>
        <w:tc>
          <w:tcPr>
            <w:tcW w:w="34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8,204</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Meals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798</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925</w:t>
            </w:r>
          </w:p>
        </w:tc>
      </w:tr>
      <w:tr>
        <w:trPr>
          <w:trHeight w:val="229"/>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Travel meals</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Meals</w:t>
            </w:r>
          </w:p>
        </w:tc>
        <w:tc>
          <w:tcPr>
            <w:tcW w:w="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798</w:t>
            </w:r>
          </w:p>
        </w:tc>
        <w:tc>
          <w:tcPr>
            <w:tcW w:w="34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925</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expenses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 supplies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Shipping &amp; postage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&amp; apps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Office expenses</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Payroll expenses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Officers’ salaries</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84,000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Payroll expenses</w:t>
            </w:r>
          </w:p>
        </w:tc>
        <w:tc>
          <w:tcPr>
            <w:tcW w:w="6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84,000</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 Fees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Legal Fees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4,406</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Consulting Fees</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10,000</w:t>
            </w:r>
          </w:p>
        </w:tc>
      </w:tr>
      <w:tr>
        <w:trPr>
          <w:trHeight w:val="210"/>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Professional Service Fees</w:t>
            </w:r>
          </w:p>
        </w:tc>
        <w:tc>
          <w:tcPr>
            <w:tcW w:w="6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4,406</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Supplies &amp; materials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3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Supplies</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Travel</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Expenses</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104,297</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5027</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305,224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46,368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(5027)</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(19,606)</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Vehicle expenses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 gas &amp; fuel</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251</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w:t>
            </w:r>
          </w:p>
        </w:tc>
      </w:tr>
      <w:tr>
        <w:trPr>
          <w:trHeight w:val="209"/>
        </w:trPr>
        <w:tc>
          <w:tcPr>
            <w:tcW w:w="3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Vehicle expenses</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for Other Expenses</w:t>
            </w: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3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00" w:type="dxa"/>
            <w:vAlign w:val="bottom"/>
            <w:tcBorders>
              <w:bottom w:val="single" w:sz="8" w:color="CCEEFF"/>
            </w:tcBorders>
          </w:tcPr>
          <w:p>
            <w:pPr>
              <w:spacing w:after="0"/>
              <w:rPr>
                <w:sz w:val="18"/>
                <w:szCs w:val="18"/>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Other Income</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2"/>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46,368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(5278)</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(56,238)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(19,857)</w:t>
            </w:r>
          </w:p>
        </w:tc>
        <w:tc>
          <w:tcPr>
            <w:tcW w:w="100" w:type="dxa"/>
            <w:vAlign w:val="bottom"/>
          </w:tcPr>
          <w:p>
            <w:pPr>
              <w:spacing w:after="0"/>
              <w:rPr>
                <w:sz w:val="20"/>
                <w:szCs w:val="20"/>
                <w:color w:val="auto"/>
              </w:rPr>
            </w:pPr>
          </w:p>
        </w:tc>
      </w:tr>
      <w:tr>
        <w:trPr>
          <w:trHeight w:val="410"/>
        </w:trPr>
        <w:tc>
          <w:tcPr>
            <w:tcW w:w="3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F-2</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AND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-NINE MONTHS ENDED 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920" w:type="dxa"/>
            <w:vAlign w:val="bottom"/>
          </w:tcPr>
          <w:p>
            <w:pPr>
              <w:spacing w:after="0"/>
              <w:rPr>
                <w:sz w:val="21"/>
                <w:szCs w:val="21"/>
                <w:color w:val="auto"/>
              </w:rPr>
            </w:pPr>
          </w:p>
        </w:tc>
        <w:tc>
          <w:tcPr>
            <w:tcW w:w="240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11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19"/>
                <w:szCs w:val="19"/>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Subscribed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154,731,956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154,732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287,268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(1,335,654)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(893,654)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154,731,956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154,732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287,268</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(1,340,145)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(898,145)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 issued During the Period</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166,731,956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166,732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64,602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(1,354,724)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(1,123,390)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(Loss) September 30, 2024</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(5278)</w:t>
            </w: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166,731,956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166,732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59,312</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(1,340,932)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(1,128,668)</w:t>
            </w:r>
          </w:p>
        </w:tc>
        <w:tc>
          <w:tcPr>
            <w:tcW w:w="0" w:type="dxa"/>
            <w:vAlign w:val="bottom"/>
          </w:tcPr>
          <w:p>
            <w:pPr>
              <w:spacing w:after="0"/>
              <w:rPr>
                <w:sz w:val="1"/>
                <w:szCs w:val="1"/>
                <w:color w:val="auto"/>
              </w:rPr>
            </w:pPr>
          </w:p>
        </w:tc>
      </w:tr>
      <w:tr>
        <w:trPr>
          <w:trHeight w:val="410"/>
        </w:trPr>
        <w:tc>
          <w:tcPr>
            <w:tcW w:w="8800" w:type="dxa"/>
            <w:vAlign w:val="bottom"/>
            <w:tcBorders>
              <w:bottom w:val="single" w:sz="8" w:color="auto"/>
            </w:tcBorders>
            <w:gridSpan w:val="15"/>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STOCKHOLDERS EQUITY -NINE MONTHS ENDED SEPTEMBER 30, 2025</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920" w:type="dxa"/>
            <w:vAlign w:val="bottom"/>
          </w:tcPr>
          <w:p>
            <w:pPr>
              <w:spacing w:after="0"/>
              <w:rPr>
                <w:sz w:val="21"/>
                <w:szCs w:val="21"/>
                <w:color w:val="auto"/>
              </w:rPr>
            </w:pPr>
          </w:p>
        </w:tc>
        <w:tc>
          <w:tcPr>
            <w:tcW w:w="240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11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19"/>
                <w:szCs w:val="19"/>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Subscribed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171,731,956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171,732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270,316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(1,499,668)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(1,057,620)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Shares Issued During the Period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4,007,145</w:t>
            </w:r>
          </w:p>
        </w:tc>
        <w:tc>
          <w:tcPr>
            <w:tcW w:w="1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4,007</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175,739,101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175,739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305,374</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(1,580,858)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(1,099,745)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Shares issued During the Period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4,407,945</w:t>
            </w:r>
          </w:p>
        </w:tc>
        <w:tc>
          <w:tcPr>
            <w:tcW w:w="1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4,408</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180,147,046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180,147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258,645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(1,602,274)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(1,070,894)</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Shares issued During the Period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2,142,858</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(Loss) September 30, 2025</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46,368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46,368</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182,289,904</w:t>
            </w:r>
          </w:p>
        </w:tc>
        <w:tc>
          <w:tcPr>
            <w:tcW w:w="1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182,289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349,091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(1,555,906)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(1,024,526)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5"/>
              </w:rPr>
              <w:t>F-3</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6" w:name="page7"/>
    <w:bookmarkEnd w:id="6"/>
    <w:p>
      <w:pPr>
        <w:ind w:left="4720"/>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00" w:type="dxa"/>
            <w:vAlign w:val="bottom"/>
            <w:gridSpan w:val="6"/>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9 Months Ended</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(56,238)</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 Receivable (L/R)</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(2,511,083)</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 Receivable (L/R):Accrued Interest Receivable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(248,986)</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to officers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to others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Payable (N/P)</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Salaries Payable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252,000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Adjustments to reconcile Net Income to Net Cash provided by operations:</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(8,069</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(64,307)</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78,774</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19,851</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10,558</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89,332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INCREASE FOR PERIOD</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25,079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1A-Notes to Unaudited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Reviewed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Period Ended September 30,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–ORGANIZATION AND BUSINESS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Superstar Platforms, Inc. (the “Company”) was incorporated on March 27, 2025 under the laws of the state of Nevada. , a leading national technology conglomerate, is the parent company that will owns and controls a diversified portfolio of subsidiaries across various industries. Growth will primarily be driven through strategic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–GOING CONCERN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as of September 30, 2025 have been prepared using generally accepted accounting principles in the United States of America applicable to a going concern, which contemplates the realization of assets and liquidation of liabilities in the normal course of business. The Company has accumulated deficit of $(1,555,906) as of September 30, 2025, the company currently does not have a business operation, these factors raise substantial doubt about company ‘ability to continue as a going concern.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and related notes are presented in accordance with accounting principles generally accepted in the United States of America (“GAAP”) and are expressed in US dollars. The Company’s fiscal year-end is December 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various accounting standards and interpretations issued recently, none of which are expected to have a material impact on our financial position,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period. Actual results could differ from those estimates.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limited level of operations, the Company has not had to make material assumptions or estimates other than the assumption that the Company is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purposes of the statement of cash flows, the Company considers all highly liquid instruments purchased with an original maturity of three months or less to be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requires an entity to maximize the use of observable inputs and minimize the use of unobservable inputs when measuring fair value. It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It prioritizes the inputs into three levels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accounts receivable, short-term investments, accounts payable and note payable. The respective carrying values of these financial instruments approximate their fair values. Fair value estimates discussed herein are based upon certain market assumptions and pertinent information available to management as of September 30, 2025. Fair values were assumed to approximate carrying values for these financial instruments as either they do not have any active market or are short term in nature and therefore their carrying amounts approximate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determined in accordance with the provisions of ASC 740, “Income Taxes” (“</w:t>
      </w:r>
      <w:r>
        <w:rPr>
          <w:rFonts w:ascii="Times New Roman" w:cs="Times New Roman" w:eastAsia="Times New Roman" w:hAnsi="Times New Roman"/>
          <w:sz w:val="18"/>
          <w:szCs w:val="18"/>
          <w:i w:val="1"/>
          <w:iCs w:val="1"/>
          <w:color w:val="auto"/>
        </w:rPr>
        <w:t>ASC 740</w:t>
      </w:r>
      <w:r>
        <w:rPr>
          <w:rFonts w:ascii="Times New Roman" w:cs="Times New Roman" w:eastAsia="Times New Roman" w:hAnsi="Times New Roman"/>
          <w:sz w:val="18"/>
          <w:szCs w:val="18"/>
          <w:color w:val="auto"/>
        </w:rPr>
        <w:t>”).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years in which those temporary differences are expected to be recovered or settled. Any effect on deferred tax assets and liabilities of a change in tax rates is recognized in income in the period that includes the enactment date.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period ended September 30, 2025, the Company did not have any interest and penalties associated with tax positions. As of September 30, 2025, the Company did not have any significant unrecognized uncertain tax positions.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ASC 440 &amp;ASC 450, subtopic 450-20 of the FASB Accounting Standards Codification to report accounting for contingencies and commitments respectively. Certain conditions may exist as of the date the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guarantees would be disclosed. Management does not believe, based upon information available at this time, that these matters will have a material adverse effect on the Company’s financial position, results of operations or cash flows. However, there is no assurance that such matters will not materially and adversely affect the Company’s business, financial position, and results of operations or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 work in progress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incurred during the development of a website are initially recognized as work in progress (WIP) and classified as an intangible asset on the balance sheet. Only costs directly attributable to the website development phase are capitalized. These include salaries and wages for employees directly involved, payments to external developers or consultants, software or tools specifically purchased for the project, and material hosting or domain costs incurred during the development phase. Costs not meeting the criteria for capitalization, such as research expenses, general administrative costs, and ongoing maintenance or upgrades after the website becomes operational, are expensed as incurred.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website remains classified as a work in progress until it is fully developed and ready for its intended use. Once completed, the accumulated costs are transferred to intangible assets and amortized over its estimated useful life, typically ranging from 3 to 5 years, using a straight-line method. The costs capitalized as WIP are reviewed periodically to ensure they are directly related to the development phase.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Work in progress is tested for impairment annually or whenever circumstances indicate that the carrying amount may not be recoverable. Any impairment losses identified are recognized in the income statement. Upon completion of the website, its amortization begins, reflecting the consumption of the asset’s benefits over its useful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when earned at the fair value of the consideration received or receivable.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is recognized upon loaning the money to the customer and is calculated on a monthly basis at the rate of2% simple interest on the loan amount receivable from the customer.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from other investment activities is generated through various short-term alternative investment activities as seem profitable to the management and income from such activities is recognized when earned.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place is a digital platform for buyers and sellers. The platform’s primary performance obligation is to facilitate transactions by providing a marketplace for buyers and sellers. This includes enabling the listing of goods/services, facilitating payment processing, and providing customer support. Income is recognized on a net basis, representing only the fee or commission earned, when the platform satisfies its performance obligation by successfully facilitating the transaction. This generally occurs when the buyer’s payment is processed and the platform’s role in the transaction is complete.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common stock outstanding of 182,289,904 as of September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5 -SUBSEQUENT EVENTS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other subsequent events till the date these financial statements were issued and has determined that there are no items to disclose.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DISCUSSION OF OUR PLAN OF OPERATION AND RESULTS OF OPERATIONS SHOULD BE READ IN CONJUNCTION WITH THE FINANCIAL STATEMENTS AND RELATED NOTES TO THE FINANCIAL STATEMENTS INCLUDED ELSEWHERE IN THIS REPORT. THIS DISCUSSION CONTAINS FORWARD-LOOKING STATEMENTS THAT RELATE TO FUTURE EVENTS OR OUR FUTURE FINANCIAL PERFORMANCE. THESE STATEMENTS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THESE FORWARD-LOOKING STATEMENTS ARE SUBJECT TO NUMEROUS RISKS AND UNCERTAINTIES, INCLUDING OUR ABILITY TO COMMERCIALIZE NEW PRODUCTS, HIRE AND RETAIN KEY PERSONNEL, AND SECURE SUFFICIENT FUNDING TO EXECUTE OUR GROWTH PLAN. IF OUR ASSUMPTIONS REGARDING PLANNED EXPENDITURES OR REVENUE GENERATION PROVE INACCURATE, WE MAY NEED TO ADJUST OUR STRATEGIC TIMELINE OR RESOURCE ALLOCATION,WHILE WE BELIEVE THESE PATENTS PROVIDE MEANINGFUL PROTECTION FOR CERTAIN ASPECTS OF OUR TECHNOLOGY, THERE IS NO GUARANTEE THAT THEY WILL PREVENT ALL COMPETITORS FROM DEVELOPING SIMILAR PRODUCTS, FAILURE TO COMPLY WITH THE FAMILY EDUCATIONAL RIGHTS AND PRIVACY ACT (“FERPA”) COULD LIMIT OR DELAY OUR ABILITY TO DEPLOY SAFESCHOOL™ IN CERTAIN JURISDICTIONS, IMPACT CUSTOMER ADOPTION, OR EXPOSE THE COMPANY TO REGULATORY RISK AND OTHER FACTORS INCLUDE, AMONG OTHERS, THOSE LISTED UNDER “FORWARD-LOOKING STATEMENTS” AND “RISK FACTORS” AND THOSE INCLUDED ELSEWHERE IN THIS REPORT.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2025 when it changed its name to Superstar Platforms Inc. The Company operated as Dinewise, Inc until March 2025 when it changed its name to Superstar Platforms Inc. Superstar Platforms, will be a leading national technology conglomerate that will control a diversified portfolio of subsidiaries across various industries. Superstar Platforms will also lend to small businesses. Growth will primarily be driven through strategic acquisitions. Currently Superstar Platforms has no affiliated or subsidiary companies.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qualifies as a “smaller reporting company” as defined in Section 10(f) of Regulation S-K(17 C.F.R. § 229.10) as one that has a public float of less than $250 million. It has revenues of less than $100,000,000 per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Overview of Business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operated as Dinewise Inc. until March 27, 2025 when it changed its name to Superstar Platforms Inc. Superstar Platforms, Inc owns PawnTrust. PawnTrust is a marketplace exclusively for Pawn Shops. It allows users to buy, borrow and barter through an app on their mobile phone. The marketplace is in beta testing and is slated to go live in Q2/2026</w:t>
      </w:r>
      <w:r>
        <w:rPr>
          <w:rFonts w:ascii="Times New Roman" w:cs="Times New Roman" w:eastAsia="Times New Roman" w:hAnsi="Times New Roman"/>
          <w:sz w:val="18"/>
          <w:szCs w:val="18"/>
          <w:color w:val="212529"/>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Market Outlook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technology sector is projected to surpass 5.5 trillion in 2025. Superstar Platforms, Inc is driven by accelerated demand for AI, cloud computing, cyber security, and fintech solutions. While macroeconomic and regulatory risks persist, well-diversified and innovative tech conglomerates are well-positioned to capitalize on digital transformation and sustained investment in technology infrastructure.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Potential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adjunct to its business strategy, the Company will also seek to identify potential acquisitions in the small lending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Capital 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 Shareholders’ Equity Capital Formation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27, 2025 when it changed its name to Superstar Platforms Inc. As of September 30, 2025 The Company was authorized to issue one billion of common stock with 182,289,904 issued and outstanding. The company has issued 2,142,858 shares since the Quarterly Report for the period ending June 30, 2025. In 2022, the Company issued 34,000,000 shares for debt conversions. In 2023, the Company issued 13,000,000 shares for debt conversion. In 2024, the Company issued 17,000,000 for debt conversions. There is no preferred stock. The Company may require additional funding for ongoing operations in the future. There is no guarantee that we will be able to raise any additional capital and have no current arrangements for any such financing.</w:t>
      </w:r>
    </w:p>
    <w:p>
      <w:pPr>
        <w:spacing w:after="0" w:line="18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and September 30,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during the nine months ending September 30, 2025, and 2024, respectively, and provides information regarding the dollar and percentage increase or (decrease) from the current year to the prior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net profit of $(56,238) for the nine months ending September 30, 2025, as compared with net profit of $(19,857) for the nine months ending September 30, 2024. The increased loss was primarily driven by operating expenses and payroll.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11" w:name="page12"/>
    <w:bookmarkEnd w:id="1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expenses totalled $(305,224) for the nine months ending September 30, 2025, compared to $(19,857) for the nine months ending September 30, 2024, an increase of $285,367 or 1,437.%. The main reason for the increase was an increase in payroll expense.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Line item</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9/30/25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9/30/24</w:t>
            </w:r>
          </w:p>
        </w:tc>
        <w:tc>
          <w:tcPr>
            <w:tcW w:w="140" w:type="dxa"/>
            <w:vAlign w:val="bottom"/>
          </w:tcPr>
          <w:p>
            <w:pPr>
              <w:spacing w:after="0"/>
              <w:rPr>
                <w:sz w:val="20"/>
                <w:szCs w:val="20"/>
                <w:color w:val="auto"/>
              </w:rPr>
            </w:pPr>
          </w:p>
        </w:tc>
        <w:tc>
          <w:tcPr>
            <w:tcW w:w="16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Increase/Decrease</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Increase/Decrease</w:t>
            </w:r>
          </w:p>
        </w:tc>
      </w:tr>
      <w:tr>
        <w:trPr>
          <w:trHeight w:val="209"/>
        </w:trPr>
        <w:tc>
          <w:tcPr>
            <w:tcW w:w="2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248,986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248,986</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(305,224)</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(19,857)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285,367</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1,437%</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(56,238)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(19,857)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(36,381)</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Profit Loss Per Share</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A0A0A"/>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A0A0A"/>
              </w:rPr>
              <w:t>0.00031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A0A0A"/>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A0A0A"/>
              </w:rPr>
              <w:t>0.00011</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0.00020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we had total assets of $2,785,148 and $54.19, working capital of $25,079 and $54 and an accumulated deficit of $(1,555,906) and $(1,499,668) respectively. Our operating activities used $(64,307) in cash for the nine months ending September 30, 2025, compared to net cash used in operations of $19,587 for the nine months ended September 30, 2024. Our revenues were $248,986 for the nine months ending September 30, 2025, and $0 for the nine months ending September 30,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the Company’s cash will be sufficient to fund all Company obligations and commitments for the next twelve months. Historically, we have depended on equity offerings and loans from our principal shareholders and their affiliated companies to provide us with working capital as required. There is no guarantee that such funding will be available when required and there can be no assurance that our stockholders, or any of them, will continue making loans or advances to us in the future.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an outstanding loan balance of $307,674 from a related party. The original note was $270,000, with accrued interest totaling $293,200. The note was due on December 31, 2021. In addition, the Company began lending to small businesses and, as of September 30, 2025, had loan receivables totaling $2,511,083. These loans bear interest at an annual rate of 24%, and collections from these receivables are expected to support the Company’s liquidity and ongoing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 Balance Sheet Arrangements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or capital expenditures or capital resources that are material to an investor in our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Seasonality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are not affected by seasonality.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Inflation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and operating results are affected in material ways by inflation. Periods of high rates of unemployment and other downturns in the economy lead to increases in revenue but can also have increased defaults on loans when the economy is down.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Critical Accounting Policies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issued Financial Reporting Release No. 60, “Cautionary Advice Regarding Disclosure About Critical Accounting Policies” suggesting that companies provide additional disclosure and commentary on their most critical accounting policies. In Financial Reporting Release No. 60, the Securities and Exchange Commission has defined the most critical accounting policies as the ones that are most important to the portrayal of a company’s financial condition and operating results, and require management to make its most difficult and subjective judgments, often as a result of the need to make estimates of matters that are inherently uncertain. The nature of our business generally does not call for the preparation or use of estimates.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Accounting Pronouncements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The standard will be effective for us beginning with our annual reporting for fiscal year 2025 and interim periods thereafter, with early adoption permitted. We are currently evaluating the impact of this standard on our segment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annual reporting periods beginning after December 15, 2026, and interim reporting periods within annual reporting periods beginning after December 15, 2027, with early adoption permitted. We are currently evaluating the impact of this standard on our disclosures.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and the United States Securities and Exchange Commission did not or are not believed by management to have a material impact on the Company’s present or future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we have carried out an evaluation of the effectiveness of our disclosure controls and procedures as of the end of the period covered by this quarterly report, September 30, 2025. This evaluation was carried out by our Chief Executive Officer.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Securities Exchange Act of 1934 is accumulated and communicated to management, including our Chief Executive Officer and Chief Financial Officer, to allow timely decisions regarding required disclosure.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that evaluation, including our Chief Executive Officer, we have concluded that our disclosure controls and procedures were ineffective as of the end of the period covered by this report due to a material weakness in our internal control over financial reporting, which is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Management has assessed the effectiveness of our internal control over financial reporting as of September 30, 2025 based on criteria established in Internal Control-Integrated Framework issued by the Committee of Sponsoring Organizations of the Treadway Commission. As a result of this assessment, management concluded that, as of September 30, 2025, our internal control over financial reporting was not effective. Our management identified the following material weaknesses in our internal control over financial reporting, which are indicative of many small companies with small staff: (i) inadequate segregation of duties and effective risk assessment. and (ii) insufficient written policies and procedures for accounting and financial reporting with respect to the requirements and application of both US GAAP and SEC guidelines.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plan to take steps to enhance and improve the design of our internal control over financial reporting. During the period covered by this quarterly report on Form 10-Q, we have not been able to remediate the material weaknesses identified above. To remediate such weaknesses, we hope to implement the following changes during our fiscal year ending December 31, 2025: (i) appoint additional qualified personnel to address inadequate segregation of duties and ineffective risk management; and (ii) adopt sufficient written policies and procedures for accounting and financial reporting. The remediation efforts set out in (i) and (ii) are largely dependent upon our securing additional financing to cover the costs of implementing the changes required. If we are unsuccessful in securing such funds, remediation efforts may be adversely affected in a material manner.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 certain extent, the size of our operation provides inherent checks and balances relative to internal controls: Because of our limited staff size and the integration of our executives and directors in operations, the prospect for significant internal control failures resulting in unreliable financial statements or worse is remote. Regardless, we recognize the importance of multiple layers of reporting and controls and are working toward improving our capabilities.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Company’s most recently completed fiscal quarter that has materially affected, or is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this time, we know of no pending legal proceedings to which we are a party, either individually or in the aggregate. We are from time to time, during the normal course of our business operations, subject to various litigation claims and legal disputes. There are no such claims or disputes pending at this time and we have not been notified of any possible claims or disputes.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issued Two-Million One-Hundred Forty Two Thousand Eight Hundred Fifty-Eight (2,142,858) shares of unregistered common stock for $150,000.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senior securities, but has outstanding instruments previously characterized as unsecured convertible debentures. These instruments are not senior to any other Company obligation. A Company insider holds the note. The original note was $270,000 but the principal as of September 30, 2025 was $226,000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to add.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7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3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708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Chief Executive Officer Certification pursuant to Section 302 of the Sarbanes-Oxley Act of 2002*</w:t>
            </w:r>
          </w:p>
        </w:tc>
        <w:tc>
          <w:tcPr>
            <w:tcW w:w="3080" w:type="dxa"/>
            <w:vAlign w:val="bottom"/>
            <w:tcBorders>
              <w:top w:val="single" w:sz="8" w:color="auto"/>
            </w:tcBorders>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Chief Financial Officer Certification pursuant to Section 302 of the Sarbanes-Oxley Act of 2002*</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20" w:type="dxa"/>
            <w:vAlign w:val="bottom"/>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70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Chief Executive Officer Certification pursuant to Section 906 of the Sarbanes-Oxley Act of 2002*</w:t>
            </w:r>
          </w:p>
        </w:tc>
        <w:tc>
          <w:tcPr>
            <w:tcW w:w="3080" w:type="dxa"/>
            <w:vAlign w:val="bottom"/>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Chief Financial Officer Certification pursuant to Section 906 of the Sarbanes-Oxley Act of 2002*</w:t>
            </w:r>
          </w:p>
        </w:tc>
      </w:tr>
      <w:tr>
        <w:trPr>
          <w:trHeight w:val="20"/>
        </w:trPr>
        <w:tc>
          <w:tcPr>
            <w:tcW w:w="1080" w:type="dxa"/>
            <w:vAlign w:val="bottom"/>
            <w:gridSpan w:val="2"/>
          </w:tcPr>
          <w:p>
            <w:pPr>
              <w:spacing w:after="0" w:line="20" w:lineRule="exact"/>
              <w:rPr>
                <w:sz w:val="1"/>
                <w:szCs w:val="1"/>
                <w:color w:val="auto"/>
              </w:rPr>
            </w:pPr>
          </w:p>
        </w:tc>
        <w:tc>
          <w:tcPr>
            <w:tcW w:w="7020" w:type="dxa"/>
            <w:vAlign w:val="bottom"/>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43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5580" w:right="3600" w:hanging="5572"/>
        <w:spacing w:after="0" w:line="532" w:lineRule="auto"/>
        <w:tabs>
          <w:tab w:leader="none" w:pos="10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2025</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2025</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SUPERSTAR PLATFORMS, INC.OFFICER’S CERTIFICATE PURSUANT TO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Farr, certify that.</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Superstar Platforms,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which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SUPERSTAR PLATFORMS, INC.OFFICER’S CERTIFICATE PURSUANT TO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Farr., certify that:</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Superstar Platforms,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which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ind w:left="340" w:right="2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Superstar Platforms, Inc. (the Registrant) on Form 10-Q for the period ended September 30, 2025, as filed with the Securities and Exchange Commission on the date hereof (the Report), I, Michael Farr., Principal Executive Officer of the Company, certify, pursuant to 18 U.S.C. §1350, as adopted pursuant to Section 906 of the Sarbanes-Oxley Act of 2002, that: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Michael Farr. and will be retained by Superstar Platforms, Inc.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ind w:left="340" w:right="140"/>
        <w:spacing w:after="0" w:line="282" w:lineRule="auto"/>
        <w:rPr>
          <w:sz w:val="20"/>
          <w:szCs w:val="20"/>
          <w:color w:val="auto"/>
        </w:rPr>
      </w:pPr>
      <w:r>
        <w:rPr>
          <w:rFonts w:ascii="Times New Roman" w:cs="Times New Roman" w:eastAsia="Times New Roman" w:hAnsi="Times New Roman"/>
          <w:sz w:val="18"/>
          <w:szCs w:val="18"/>
          <w:color w:val="auto"/>
        </w:rPr>
        <w:t>SUPERSTAR PLATFROMS, INC.CERTIFICATION PURSUANT TO 18 U.S.C. SECTION 1350,AS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Superstar Platforms, Inc. (the Registrant) on Form 10-Q for the period ended September 30, 2025, as filed with the Securities and Exchange Commission on the date hereof (the Report), I, Michael Farr., Principal Accounting Officer of the Company, certify, pursuant to 18 U.S.C. §1350, as adopted pursuant to Section 906 of the Sarbanes-Oxley Act of 2002, that:</w:t>
      </w:r>
    </w:p>
    <w:p>
      <w:pPr>
        <w:spacing w:after="0" w:line="203" w:lineRule="exact"/>
        <w:rPr>
          <w:sz w:val="20"/>
          <w:szCs w:val="20"/>
          <w:color w:val="auto"/>
        </w:rPr>
      </w:pPr>
    </w:p>
    <w:p>
      <w:pPr>
        <w:ind w:left="380" w:hanging="345"/>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Michael Farr and will be retained by Superstar Platforms, Inc.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4"/>
      <w:numFmt w:val="bullet"/>
      <w:start w:val="1"/>
    </w:lvl>
    <w:lvl w:ilvl="1">
      <w:lvlJc w:val="left"/>
      <w:lvlText w:val="%2."/>
      <w:numFmt w:val="lowerLetter"/>
      <w:start w:val="1"/>
    </w:lvl>
  </w:abstractNum>
  <w:abstractNum w:abstractNumId="6">
    <w:nsid w:val="79E2A9E3"/>
    <w:multiLevelType w:val="hybridMultilevel"/>
    <w:lvl w:ilvl="0">
      <w:lvlJc w:val="left"/>
      <w:lvlText w:val="%1."/>
      <w:numFmt w:val="decimal"/>
      <w:start w:val="5"/>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2025-11-14T15:13:19Z</dcterms:created>
  <dcterms:modified xsi:type="dcterms:W3CDTF">2025-11-14T15:13:19Z</dcterms:modified>
</cp:coreProperties>
</file>