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237" w:lineRule="exact"/>
        <w:rPr>
          <w:sz w:val="24"/>
          <w:szCs w:val="24"/>
          <w:color w:val="auto"/>
        </w:rPr>
      </w:pPr>
    </w:p>
    <w:p>
      <w:pPr>
        <w:jc w:val="center"/>
        <w:ind w:left="3920" w:right="1120" w:hanging="2789"/>
        <w:spacing w:after="0" w:line="500" w:lineRule="auto"/>
        <w:tabs>
          <w:tab w:leader="none" w:pos="1323"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3600" w:right="940" w:hanging="2657"/>
        <w:spacing w:after="0" w:line="500" w:lineRule="auto"/>
        <w:tabs>
          <w:tab w:leader="none" w:pos="114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u w:val="single" w:color="auto"/>
          <w:color w:val="auto"/>
        </w:rPr>
        <w:t>000-56744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Superstar Platforms,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0" w:gutter="0" w:footer="0" w:header="0"/>
        </w:sectPr>
      </w:pPr>
    </w:p>
    <w:p>
      <w:pPr>
        <w:spacing w:after="0" w:line="20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01-0741042</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0" w:right="339" w:bottom="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586 Cobb Parkway S Suite 900 Marietta,GA30060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ectPr>
          <w:pgSz w:w="11900" w:h="16838" w:orient="portrait"/>
          <w:cols w:equalWidth="0" w:num="1">
            <w:col w:w="11240"/>
          </w:cols>
          <w:pgMar w:left="320" w:top="740" w:right="339" w:bottom="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(650)228-0680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439"/>
        </w:trPr>
        <w:tc>
          <w:tcPr>
            <w:tcW w:w="33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60" w:type="dxa"/>
            <w:vAlign w:val="bottom"/>
            <w:tcBorders>
              <w:top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SPST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OTC Markets</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5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aggregate market value of </w:t>
      </w:r>
      <w:r>
        <w:rPr>
          <w:rFonts w:ascii="Times New Roman" w:cs="Times New Roman" w:eastAsia="Times New Roman" w:hAnsi="Times New Roman"/>
          <w:sz w:val="18"/>
          <w:szCs w:val="18"/>
          <w:b w:val="1"/>
          <w:bCs w:val="1"/>
          <w:color w:val="auto"/>
        </w:rPr>
        <w:t>35,410,706</w:t>
      </w:r>
      <w:r>
        <w:rPr>
          <w:rFonts w:ascii="Times New Roman" w:cs="Times New Roman" w:eastAsia="Times New Roman" w:hAnsi="Times New Roman"/>
          <w:sz w:val="18"/>
          <w:szCs w:val="18"/>
          <w:color w:val="auto"/>
        </w:rPr>
        <w:t xml:space="preserve"> shares of the registrant’s common stock held by non-affiliates on June 30, 2025 was $3,186,963.54. For purposes of this computation, all officers, directors and 10% beneficial owners of the registrant are assumed to be affiliates. Such determination should not be deemed an admission that such officers, directors and beneficial owners are, in fact, affiliates of the registrant.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 March 30, 2026, there were </w:t>
      </w:r>
      <w:r>
        <w:rPr>
          <w:rFonts w:ascii="Times New Roman" w:cs="Times New Roman" w:eastAsia="Times New Roman" w:hAnsi="Times New Roman"/>
          <w:sz w:val="18"/>
          <w:szCs w:val="18"/>
          <w:b w:val="1"/>
          <w:bCs w:val="1"/>
          <w:color w:val="auto"/>
        </w:rPr>
        <w:t>182,289,904</w:t>
      </w:r>
      <w:r>
        <w:rPr>
          <w:rFonts w:ascii="Times New Roman" w:cs="Times New Roman" w:eastAsia="Times New Roman" w:hAnsi="Times New Roman"/>
          <w:sz w:val="18"/>
          <w:szCs w:val="18"/>
          <w:color w:val="auto"/>
        </w:rPr>
        <w:t xml:space="preserve"> shares of the registrant’s common stock issued and outstanding.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pertaining to the registrant’s 2026 annual meeting of shareholders (the “Proxy Statement”) to be filed pursuant to Regulation 14A are incorporated herein by reference into Part III of this Annual Report on Form 10-K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clearly indicates otherwise, when used in this report “we,” “us,” “our,” “Superstar Platforms, Inc.,” the “Company,” or “our Company” refers to Superstar Platforms, Inc. and, where applicable, its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on Form 10-K (this “Report”) contains forward-looking statements within the meaning of Section 27A of the Securities Act of 1933, as amended (the “Securities Act”), and Section 21E of the Securities Exchange Act of 1934, as amended (the “Exchange Act”).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Forward-looking statements discuss matters that are not historical facts and are based on current expectations and assumptions regarding future events. Because forward-looking statements relate to future events or conditions, they may include words such as “anticipate,” “believe,” “estimate,” “intend,” “could,” “should,” “would,” “may,” “seek,” “plan,” “might,” “will,” “expect,” “predict,” “project,” “forecast,” “potential,” “continue,” or similar expressions, including the negatives of those terms. These forward-looking statements appear in various places throughout this Report and include statements regarding, including without limitation, possible or assumed future results of operations; business strategies and objectives; future cash flows and liquidity; financing plans and capital requirements; plans and objectives of management; future operations and business plans; and any other statements that are not historical facts. Forward-looking statements may also appear in our other filings with the Securities and Exchange Commission, including reports on Form 8-K, in press releases, investor presentations, information posted on our website, and other public statements made by us. These forward-looking statements are not guarantees of future performance and involve risks, uncertainties, and assumptions that are difficult to predict. Many of these risks and uncertainties are outside of our control and could cause actual results to differ materially from those expressed or implied by the forward-looking statements. Factors that could cause actual results to differ materially include, but are not limited to, those discussed under “Item 1A – Risk Factors” and elsewhere in this Report. Considering these risks, uncertainties, and assumptions, the events described in the forward-looking statements may not occur or may occur to a different extent or at a different time than we have described. You are cautioned not to place undue reliance on forward-looking statements, which speak only as of the date of this Report. Except as required by applicable law, we undertake no obligation to update or revise any forward-looking statements, whether as a result of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1 to the Annual Report on Form 10-K of Superstar Platforms, Inc. for the fiscal year ended December 31, 2025, originally filed with the Securities and Exchange Commission on April 15, 2026, is being filed solely to correct certain typographical, presentation, and conforming index-title errors in Part II, Item 7, Management’s Discussion and Analysis of Financial Condition and Results of Operations, Part II, Item 8, Financial Statements and Supplementary Data, and Part IV, Item 15, Exhibits and Financial Statement Schedules.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Specifically, this Amendment corrects the Results of Operations disclosure in Item 7 to reflect that the Company had no revenue for the year ended December 31, 2025, rather than revenue of $307,068 as inadvertently stated in the Original Form 10-K. This Amendment also corrects the presentation of the Company’s balance sheet included in Item 8 to properly label Interest Receivable and Loans Receivable, which headings were transposed in the Original Form 10-K. In addition, this Amendment makes conforming corrections to; Part II, Item 8, the Index to Consolidated Financial Statements and Part IV, Item 15a.1, Financial Statements to remove inadvertent references to 2023 from index titles where no 2023 financial statements were presented in the body of the Original Form 10-K.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corrections described above, no other changes have been made to the Original Form 10-K. This Amendment does not amend, update, or otherwise modify any other information contained in the Original Form 10-K, and does not reflect events occurring after the date of the Original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2"/>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80" w:type="dxa"/>
            <w:vAlign w:val="bottom"/>
          </w:tcPr>
          <w:p>
            <w:pPr>
              <w:spacing w:after="0"/>
              <w:rPr>
                <w:sz w:val="20"/>
                <w:szCs w:val="20"/>
                <w:color w:val="auto"/>
              </w:rPr>
            </w:pPr>
          </w:p>
        </w:tc>
      </w:tr>
      <w:tr>
        <w:trPr>
          <w:trHeight w:val="216"/>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jc w:val="center"/>
              <w:ind w:right="1920"/>
              <w:spacing w:after="0"/>
              <w:rPr>
                <w:sz w:val="20"/>
                <w:szCs w:val="20"/>
                <w:color w:val="auto"/>
              </w:rPr>
            </w:pPr>
            <w:r>
              <w:rPr>
                <w:rFonts w:ascii="Times New Roman" w:cs="Times New Roman" w:eastAsia="Times New Roman" w:hAnsi="Times New Roman"/>
                <w:sz w:val="18"/>
                <w:szCs w:val="18"/>
                <w:color w:val="auto"/>
                <w:w w:val="95"/>
              </w:rPr>
              <w:t>PART II</w:t>
            </w:r>
          </w:p>
        </w:tc>
        <w:tc>
          <w:tcPr>
            <w:tcW w:w="2180" w:type="dxa"/>
            <w:vAlign w:val="bottom"/>
            <w:shd w:val="clear" w:color="auto" w:fill="CCEEFF"/>
          </w:tcPr>
          <w:p>
            <w:pPr>
              <w:spacing w:after="0"/>
              <w:rPr>
                <w:sz w:val="18"/>
                <w:szCs w:val="18"/>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380" w:type="dxa"/>
            <w:vAlign w:val="bottom"/>
            <w:gridSpan w:val="6"/>
          </w:tcPr>
          <w:p>
            <w:pPr>
              <w:ind w:left="10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18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380" w:type="dxa"/>
            <w:vAlign w:val="bottom"/>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2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jc w:val="center"/>
              <w:ind w:right="1900"/>
              <w:spacing w:after="0"/>
              <w:rPr>
                <w:sz w:val="20"/>
                <w:szCs w:val="20"/>
                <w:color w:val="auto"/>
              </w:rPr>
            </w:pPr>
            <w:r>
              <w:rPr>
                <w:rFonts w:ascii="Times New Roman" w:cs="Times New Roman" w:eastAsia="Times New Roman" w:hAnsi="Times New Roman"/>
                <w:sz w:val="18"/>
                <w:szCs w:val="18"/>
                <w:color w:val="auto"/>
                <w:w w:val="94"/>
              </w:rPr>
              <w:t>PART IV</w:t>
            </w:r>
          </w:p>
        </w:tc>
        <w:tc>
          <w:tcPr>
            <w:tcW w:w="2180" w:type="dxa"/>
            <w:vAlign w:val="bottom"/>
            <w:shd w:val="clear" w:color="auto" w:fill="CCEEFF"/>
          </w:tcPr>
          <w:p>
            <w:pPr>
              <w:spacing w:after="0"/>
              <w:rPr>
                <w:sz w:val="18"/>
                <w:szCs w:val="18"/>
                <w:color w:val="auto"/>
              </w:rPr>
            </w:pPr>
          </w:p>
        </w:tc>
      </w:tr>
      <w:tr>
        <w:trPr>
          <w:trHeight w:val="175"/>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380" w:type="dxa"/>
            <w:vAlign w:val="bottom"/>
            <w:gridSpan w:val="6"/>
          </w:tcPr>
          <w:p>
            <w:pPr>
              <w:ind w:left="10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218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680" w:type="dxa"/>
            <w:vAlign w:val="bottom"/>
            <w:shd w:val="clear" w:color="auto" w:fill="CCEEFF"/>
          </w:tcPr>
          <w:p>
            <w:pPr>
              <w:spacing w:after="0"/>
              <w:rPr>
                <w:sz w:val="17"/>
                <w:szCs w:val="17"/>
                <w:color w:val="auto"/>
              </w:rPr>
            </w:pPr>
          </w:p>
        </w:tc>
        <w:tc>
          <w:tcPr>
            <w:tcW w:w="8380" w:type="dxa"/>
            <w:vAlign w:val="bottom"/>
            <w:gridSpan w:val="6"/>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18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432"/>
        </w:trPr>
        <w:tc>
          <w:tcPr>
            <w:tcW w:w="6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5700" w:type="dxa"/>
            <w:vAlign w:val="bottom"/>
            <w:tcBorders>
              <w:top w:val="single" w:sz="8" w:color="CCEEFF"/>
              <w:bottom w:val="single" w:sz="8" w:color="auto"/>
            </w:tcBorders>
            <w:gridSpan w:val="3"/>
          </w:tcPr>
          <w:p>
            <w:pPr>
              <w:jc w:val="center"/>
              <w:ind w:left="2370"/>
              <w:spacing w:after="0"/>
              <w:rPr>
                <w:sz w:val="20"/>
                <w:szCs w:val="20"/>
                <w:color w:val="auto"/>
              </w:rPr>
            </w:pPr>
            <w:r>
              <w:rPr>
                <w:rFonts w:ascii="Times New Roman" w:cs="Times New Roman" w:eastAsia="Times New Roman" w:hAnsi="Times New Roman"/>
                <w:sz w:val="18"/>
                <w:szCs w:val="18"/>
                <w:color w:val="auto"/>
                <w:w w:val="88"/>
              </w:rPr>
              <w:t>1</w:t>
            </w:r>
          </w:p>
        </w:tc>
        <w:tc>
          <w:tcPr>
            <w:tcW w:w="182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OF OUR PLAN OF OPERATION AND RESULTS OF OPERATIONS SHOULD BE READ IN CONJUNCTION WITH THE FINANCIAL STATEMENTS AND RELATED NOTES TO THE FINANCIAL STATEMENTS INCLUDED ELSEWHERE IN THIS REPORT.</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DISCUSSION CONTAINS FORWARD-LOOKING STATEMENTS THAT RELATE TO FUTURE EVENTS OR OUR FUTURE FINANCIAL PERFORMANCE.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THESE FORWARD-LOOKING STATEMENTS ARE SUBJECT TO NUMEROUS RISKS AND UNCERTAINTIES, INCLUDING OUR ABILITY TO COMMERCIALIZE NEW PRODUCTS, HIRE AND RETAIN KEY PERSONNEL, AND SECURE SUFFICIENT FUNDING TO EXECUTE OUR GROWTH PLAN. IF OUR ASSUMPTIONS REGARDING PLANNED EXPENDITURES OR REVENUE GENERATION PROVE INACCURATE, WE MAY NEED TO ADJUST OUR STRATEGIC TIMELINE OR RESOURCE ALLOCATION,WHILE WE BELIEVE THESE PATENTS PROVIDE MEANINGFUL PROTECTION FOR CERTAIN ASPECTS OF OUR TECHNOLOGY, THERE IS NO GUARANTEE THAT THEY WILL PREVENT ALL COMPETITORS FROM DEVELOPING SIMILAR PRODUCTS, FAILURE TO COMPLY WITH THE FAMILY EDUCATIONAL RIGHTS AND PRIVACY ACT (“FERPA”) COULD LIMIT OR DELAY OUR ABILITY TO DEPLOY SAFESCHOOL™ IN CERTAIN JURISDICTIONS, IMPACT CUSTOMER ADOPTION, OR EXPOSE THE COMPANY TO REGULATORY RISK AND OTHER FACTORS INCLUDE, AMONG OTHERS, THOSE LISTED UNDER “FORWARD-LOOKING STATEMENTS” AND “RISK FACTORS” AND THOSE INCLUDED ELSEWHERE IN THIS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2025 when it changed its name to Superstar Platforms Inc. Superstar Platforms, will be a leading national technology conglomerate that will control a diversified portfolio of subsidiaries across various industries. The Company’s business strategy includes the development of technology platforms, strategic capital deployment, and potential acquisitions intended to expand the Company’s operations. The Company currently owns and is developing the PawnTrust marketplace platform, which is designed to enable pawn shops to digitize inventory and facilitate borrowing, buying, and bartering transactions through a mobile-based marketplace. In addition to its platform development activities, the Company has entered into promissory note arrangements with both related and non-related parties. These notes bear fixed interest rates and represent the Company’s primary source of revenue during the current stage of operations.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principal assets consist primarily of loans receivable bearing contractual interest rates and maturing on December 31, 2026. The Company accrues interest income on these notes in accordance with the terms of the underlying agreements.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qualifies as a “smaller reporting company” as defined in Section 10(f) of Regulation S-K(17 C.F.R. § 229.10) as one that has a public float of less than $250 million. It has revenues of less than $100,000,000 per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operated as Dinewise Inc. until March 27, 2025 when it changed its name to Superstar Platforms Inc. Superstar Platforms, Inc owns PawnTrust. PawnTrust is a marketplace exclusively for Pawn Shops. It allows users to buy, borrow and barter through an app on their mobile phone. The marketplace is in beta testing and is slated to go live in Q2/2026. The Company utilizes a combination of shareholder capital and debt financing to fund its lending activities, generating interest income from loans receivable.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technology sector is projected to surpass 5.5 trillion in 2026. Superstar Platforms, Inc is driven by accelerated demand for AI, cloud computing, cyber security, and fintech solutions. While macroeconomic and regulatory risks persist, well-diversified and innovative tech conglomerates are well-positioned to capitalize on digital transformation and sustained investment in technology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Acquisitions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adjunct to its business strategy, the Company will also seek to identify potential acquisitions in the small lending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 Shareholders’ Equity Capital Formation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27, 2025 when it changed its name to Superstar Platforms Inc. As of December 31, 2025, The Company was authorized to issue one billion of common stock with 182,289,904 issued and outstanding. The company has issued 10,557,948 shares since the Annual Report for the period ending December 31, 2024. In 2022, the Company issued 34,000,000 shares for debt conversions. In 2023, the Company issued 13,000,000 shares for debt conversion. In 2024, the Company issued 17,000,000 for debt conversions. There is no preferred stock. The Company may require additional funding for ongoing operations in the future. There is no guarantee that we will be able to raise any additional capital and have no current arrangements for any such financing.</w:t>
      </w:r>
    </w:p>
    <w:p>
      <w:pPr>
        <w:sectPr>
          <w:pgSz w:w="11900" w:h="16838" w:orient="portrait"/>
          <w:cols w:equalWidth="0" w:num="1">
            <w:col w:w="11240"/>
          </w:cols>
          <w:pgMar w:left="320" w:top="229"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year ended December 31, 2025, the Company generated total revenue of </w:t>
      </w: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color w:val="auto"/>
        </w:rPr>
        <w:t xml:space="preserve"> compared to </w:t>
      </w: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color w:val="auto"/>
        </w:rPr>
        <w:t xml:space="preserve"> for the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totaled $(541,211) for year ended December 31, 2025, compared to $(164,014) for year ended December 31, 2024, an increase of $377,197 or 229.98%. The reason for the increase was an increase in payroll expense and bad debt expense which is explained in allowance for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 net loss of $335,366 for the year ended December 31, 2025, compared to a net loss of $164,014 for the year ended December 31, 2024, an increase of $171,352, or 104.47%. The increase in net loss was primarily attributable to interest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year ended December 31, 2025 and December 31, 2024, respectively, and provides information regarding the dollar and percentage increase or (decrease) from the current year to the prior year: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 item</w:t>
            </w:r>
          </w:p>
        </w:tc>
        <w:tc>
          <w:tcPr>
            <w:tcW w:w="2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12/31/25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12/31/24</w:t>
            </w:r>
          </w:p>
        </w:tc>
        <w:tc>
          <w:tcPr>
            <w:tcW w:w="32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Increase/Decrease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Increase/Decrease</w:t>
            </w:r>
          </w:p>
        </w:tc>
      </w:tr>
      <w:tr>
        <w:trPr>
          <w:trHeight w:val="210"/>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(541,211)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(164,014)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377,197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229.98%</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(335,366)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(164,014)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175,352</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104.47%</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0.00184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0.00096</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.00089</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92.67%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primary sources of liquidity consist of cash on hand, proceeds from financing activities, and collections of principal and interest from loans receivable.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generates revenue primarily through interest income earned on its loan portfolio. Management expects that collections of interest and principal from loans receivable, together with future financing activities, will provide sufficient liquidity to support the Company’s operating activities and lending operations. Historically, we have depended on equity offerings and loans from our principal shareholders and their affiliated companies to provide us with working capital as required. the Company funded its lending activities and operations primarily through a combination of equity issuances and borrowings under promissory note agreements. As of December 31, 2025, the Company had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2,674,670 in notes payable, which were used primarily to fund a potential acquisition as well as provide working capital to fund loans issued to various borrowers under promissory note agreements. There is no guarantee that such funding will be available when required and there can be no assurance that our stockholders, or any of them, will continue making loans or advances to us in the future.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continuously evaluates capital needs and may seek additional financing through debt or equity issuances in order to expand lending activities, fund strategic acquisitions, or support the development of the PawnTrust digital marketplace.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December 31, 2024, we had total assets of $2,817,823 and $54. working capital of $1,138 and $54 and an accumulated deficit of $(1,835,034) and $(1,499,668) respectively. Our operating activities used $(95,726) in cash for the year ended December 31, 2025, compared to net cash used in operations of $48 for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and December 31, 2024, the Company had an outstanding loan balance of $307,674 from a related party. The note was due on December 31, 2021 and will accrue interest until paid off. The Company finances a portion of its lending activities through notes payable, which totaled $2,674,670 as of December 31, 2025. These borrowings are used primarily to fund the Company’s loan receivable portfolio and provide working capital for operations. The Company generates revenue through the interest spread between the cost of borrowed funds and the interest earned on loans issued to borrowers. As of December 31, 2025 the loan receivable balance was $2,587,233. which contributes to interest income recognized in the Company’s statement of operations. These loans generally bear interest at an annual rate of approximately 24% and are documented through promissory note agreements. Management expects that collections of principal and interest from these receivables will contribute to the Company’s liquidity and support its ongoing operations. The Company evaluates its loan portfolio on an ongoing basis and maintains an allowance for credit losses in accordance with ASC 326 to reflect potential credit risk associated with its lending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monitors credit risk associated with its loan portfolio on an ongoing basis. Management evaluates borrower payment performance, financial condition, and compliance with loan agreements. As of December 31, 2025, all loans were current and performing in accordance with their contractual terms. The Company has established an allowance for credit losses consistent with the guidance under ASC 326 to address potential future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our financial condition, changes in financial condition, revenues or expenses, results of operations, liquidity or capital expenditures or capital resources that are material to an investor in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business and operating results are affected in material ways by inflation. Periods of high rates of unemployment and other downturns in the economy lead to increases in revenue but can also have increased defaults on loans when the economy is down.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issued Financial Reporting Release No. 60, “Cautionary Advice Regarding Disclosure About Critical Accounting Policies” suggesting that companies provide additional disclosure and commentary on their most critical accounting policies. In Financial Reporting Release No. 60, the Securities and Exchange Commission has defined the most critical accounting policies as the ones that are most important to the portrayal of a company’s financial condition and operating results, and require management to make its most difficult and subjective judgments, often as a result of the need to make estimates of matters that are inherently uncertain. The nature of our business generally does not call for the preparation or use of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annual reporting periods beginning after December 15, 2026, and interim reporting periods within annual reporting periods beginning after December 15, 2027, with early adoption permitted. We are currently evaluating the impact of this standard on our disclosures.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and the United States Securities and Exchange Commission did not or are not believed by management to have a material impact on the Company’s present or future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is recognized in accordance with the contractual terms of promissory notes and applicable accounting guidance. Management periodically reviews its estimates and assumptions. Actual results may differ from these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accounts for expected credit losses on loans receivable in accordance with ASC 326 – Financial Instruments – Credit Losses (CECL)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of December 31, 2025, the Company recorded an allowance for credit losses equal to approximately 3% of outstanding loan balances. Management determined this allowance based on factors including, the unsecured nature of most loans, borrower concentration, maturity concentration of the loans, historical repayment experience and current economic conditions. Actual credit losses may differ from management’s estimates. These credit losses are expensed on the company’s statement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53"/>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32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96"/>
        </w:trPr>
        <w:tc>
          <w:tcPr>
            <w:tcW w:w="93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6993)</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176"/>
        </w:trPr>
        <w:tc>
          <w:tcPr>
            <w:tcW w:w="422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2025 and 2024</w:t>
            </w:r>
          </w:p>
        </w:tc>
        <w:tc>
          <w:tcPr>
            <w:tcW w:w="5160" w:type="dxa"/>
            <w:vAlign w:val="bottom"/>
            <w:tcBorders>
              <w:top w:val="single" w:sz="8" w:color="CCEEFF"/>
            </w:tcBorders>
            <w:gridSpan w:val="4"/>
          </w:tcPr>
          <w:p>
            <w:pPr>
              <w:spacing w:after="0"/>
              <w:rPr>
                <w:sz w:val="15"/>
                <w:szCs w:val="15"/>
                <w:color w:val="auto"/>
              </w:rPr>
            </w:pPr>
          </w:p>
        </w:tc>
        <w:tc>
          <w:tcPr>
            <w:tcW w:w="1860" w:type="dxa"/>
            <w:vAlign w:val="bottom"/>
            <w:tcBorders>
              <w:top w:val="single" w:sz="8" w:color="CCEEFF"/>
            </w:tcBorders>
          </w:tcPr>
          <w:p>
            <w:pPr>
              <w:ind w:left="142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12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54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Operations for the years ended December 31, 2025, and 2024</w:t>
            </w:r>
          </w:p>
        </w:tc>
        <w:tc>
          <w:tcPr>
            <w:tcW w:w="3920" w:type="dxa"/>
            <w:vAlign w:val="bottom"/>
            <w:tcBorders>
              <w:bottom w:val="single" w:sz="8" w:color="CCEEFF"/>
            </w:tcBorders>
            <w:gridSpan w:val="3"/>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75"/>
        </w:trPr>
        <w:tc>
          <w:tcPr>
            <w:tcW w:w="93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Statements of Stockholders’ Equity for the years ended December 31, 2025, and 2024</w:t>
            </w:r>
          </w:p>
        </w:tc>
        <w:tc>
          <w:tcPr>
            <w:tcW w:w="1860" w:type="dxa"/>
            <w:vAlign w:val="bottom"/>
          </w:tcPr>
          <w:p>
            <w:pPr>
              <w:ind w:left="142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12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Cash Flows for the years ended December 31, 2025, and 2024</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6"/>
        </w:trPr>
        <w:tc>
          <w:tcPr>
            <w:tcW w:w="30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the Audited Financial Statements</w:t>
            </w:r>
          </w:p>
        </w:tc>
        <w:tc>
          <w:tcPr>
            <w:tcW w:w="6320" w:type="dxa"/>
            <w:vAlign w:val="bottom"/>
            <w:gridSpan w:val="6"/>
          </w:tcPr>
          <w:p>
            <w:pPr>
              <w:spacing w:after="0"/>
              <w:rPr>
                <w:sz w:val="15"/>
                <w:szCs w:val="15"/>
                <w:color w:val="auto"/>
              </w:rPr>
            </w:pPr>
          </w:p>
        </w:tc>
        <w:tc>
          <w:tcPr>
            <w:tcW w:w="1860" w:type="dxa"/>
            <w:vAlign w:val="bottom"/>
          </w:tcPr>
          <w:p>
            <w:pPr>
              <w:ind w:left="142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453"/>
        </w:trPr>
        <w:tc>
          <w:tcPr>
            <w:tcW w:w="6200" w:type="dxa"/>
            <w:vAlign w:val="bottom"/>
            <w:tcBorders>
              <w:bottom w:val="single" w:sz="8" w:color="auto"/>
            </w:tcBorders>
            <w:gridSpan w:val="7"/>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3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Independent Registered Public Accounting Firm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have audited the accompanying balance sheets of </w:t>
      </w:r>
      <w:r>
        <w:rPr>
          <w:rFonts w:ascii="Times New Roman" w:cs="Times New Roman" w:eastAsia="Times New Roman" w:hAnsi="Times New Roman"/>
          <w:sz w:val="18"/>
          <w:szCs w:val="18"/>
          <w:b w:val="1"/>
          <w:bCs w:val="1"/>
          <w:color w:val="auto"/>
        </w:rPr>
        <w:t>Superstar Platforms, Inc.</w:t>
      </w:r>
      <w:r>
        <w:rPr>
          <w:rFonts w:ascii="Times New Roman" w:cs="Times New Roman" w:eastAsia="Times New Roman" w:hAnsi="Times New Roman"/>
          <w:sz w:val="18"/>
          <w:szCs w:val="18"/>
          <w:color w:val="auto"/>
        </w:rPr>
        <w:t xml:space="preserve"> as of December 31, 2025 and 2024, and the related statements of operations, changes in stockholders’ deficit, and cash flows for each of the two years in the period ended December 31, 2025 and 2024, and the related notes (collectively referred to as the “financial statements”).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as disclosed in Note 2 to the financial statement, the Company incurred a net loss of $(335,366) and an accumulated deficit of $(1,835,034). These conditions raise substantial doubt about the Company’s ability to continue as a going concern. These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Communication of critical audit matters does not alter in any way our opinion on the financial statements taken as a whole and we are not, by communicating the critical audit matters, providing separate opinions on the critical audit matter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Going Concern Uncertainty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See also Going Concern Uncertainty explanatory paragraph above: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to the financial statements, the Company has significant operating losses and a working capital deficiency. The ability of the Company to continue as a going concern is dependent on obtaining additional working capital funding from the sale of equity and/or debt securities to execute its plans and continue operations. These conditions raise substantial doubt about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procedures performed to address the matter included.</w:t>
      </w:r>
    </w:p>
    <w:p>
      <w:pPr>
        <w:spacing w:after="0" w:line="225" w:lineRule="exact"/>
        <w:rPr>
          <w:sz w:val="20"/>
          <w:szCs w:val="20"/>
          <w:color w:val="auto"/>
        </w:rPr>
      </w:pPr>
    </w:p>
    <w:p>
      <w:pPr>
        <w:ind w:left="660" w:right="2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inquired of executive officers, and key members of management, of the Company regarding factors that would have an impact on the Company’s ability to continue as a going concern,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plan for addressing the adverse effects of the conditions identified, including assessing the reasonableness of forecasted information and underlying assumptions by comparing to actual results of prior periods and actual results achieved to date, and utilizing our knowledge of the entity, its business and management in considering liquidity needs and the Company’s ability to generate sufficient cash flow,</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possibility of raising additional debt or credit,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completeness and accuracy of disclosures in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Boladale Lawal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Boladale Lawal &amp; 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Lagos, Nigeria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ectPr>
          <w:pgSz w:w="11900" w:h="16838" w:orient="portrait"/>
          <w:cols w:equalWidth="0" w:num="1">
            <w:col w:w="11240"/>
          </w:cols>
          <w:pgMar w:left="320" w:top="229" w:right="339" w:bottom="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Balance Sheets</w:t>
            </w:r>
          </w:p>
        </w:tc>
        <w:tc>
          <w:tcPr>
            <w:tcW w:w="5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566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Superstar Platforms, Inc</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66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9"/>
              </w:rPr>
              <w:t>Balance Sheet</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2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Loan Receivable (L/R)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2,587,233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307,068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Allowance for Bad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(77,617)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2,817,823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1,002,001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Notes Payable (N/P)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2,674,670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6"/>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Interest Payable &amp; Other Payables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129,654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Due to Related Party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307,674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307,674</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for Current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4,113,999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1,057,674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4,113,999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1,057,674</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 Deficit:</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value,1,000,000,000 shares authorized:182,289,904 and</w:t>
            </w: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171,731,956 shares issued and outstanding as of December 31, 2025 and December 31,</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 respectively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182,290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171,732</w:t>
            </w:r>
          </w:p>
        </w:tc>
        <w:tc>
          <w:tcPr>
            <w:tcW w:w="0" w:type="dxa"/>
            <w:vAlign w:val="bottom"/>
          </w:tcPr>
          <w:p>
            <w:pPr>
              <w:spacing w:after="0"/>
              <w:rPr>
                <w:sz w:val="1"/>
                <w:szCs w:val="1"/>
                <w:color w:val="auto"/>
              </w:rPr>
            </w:pPr>
          </w:p>
        </w:tc>
      </w:tr>
      <w:tr>
        <w:trPr>
          <w:trHeight w:val="216"/>
        </w:trPr>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356,568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270,316</w:t>
            </w: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(1,835,034)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(1,499,668)</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(1,296,176</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(1,057,620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2,817,823</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660" w:type="dxa"/>
            <w:vAlign w:val="bottom"/>
            <w:vMerge w:val="restart"/>
          </w:tcPr>
          <w:p>
            <w:pPr>
              <w:jc w:val="center"/>
              <w:ind w:left="2930"/>
              <w:spacing w:after="0"/>
              <w:rPr>
                <w:sz w:val="20"/>
                <w:szCs w:val="20"/>
                <w:color w:val="auto"/>
              </w:rPr>
            </w:pPr>
            <w:r>
              <w:rPr>
                <w:rFonts w:ascii="Times New Roman" w:cs="Times New Roman" w:eastAsia="Times New Roman" w:hAnsi="Times New Roman"/>
                <w:sz w:val="18"/>
                <w:szCs w:val="18"/>
                <w:color w:val="auto"/>
                <w:w w:val="95"/>
              </w:rPr>
              <w:t>F-2</w:t>
            </w: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 of Operations</w:t>
            </w:r>
          </w:p>
        </w:tc>
        <w:tc>
          <w:tcPr>
            <w:tcW w:w="2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74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Superstar Platforms, Inc</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740" w:type="dxa"/>
            <w:vAlign w:val="bottom"/>
            <w:gridSpan w:val="2"/>
          </w:tcPr>
          <w:p>
            <w:pPr>
              <w:jc w:val="center"/>
              <w:ind w:right="770"/>
              <w:spacing w:after="0"/>
              <w:rPr>
                <w:sz w:val="20"/>
                <w:szCs w:val="20"/>
                <w:color w:val="auto"/>
              </w:rPr>
            </w:pPr>
            <w:r>
              <w:rPr>
                <w:rFonts w:ascii="Times New Roman" w:cs="Times New Roman" w:eastAsia="Times New Roman" w:hAnsi="Times New Roman"/>
                <w:sz w:val="18"/>
                <w:szCs w:val="18"/>
                <w:color w:val="auto"/>
              </w:rPr>
              <w:t>Statement of Operations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4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159,804</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12,014</w:t>
            </w: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45,407</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Payroll Expense</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336,000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130,000</w:t>
            </w:r>
          </w:p>
        </w:tc>
      </w:tr>
      <w:tr>
        <w:trPr>
          <w:trHeight w:val="230"/>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30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541,211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164,014</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(541,211)</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(164,014)</w:t>
            </w:r>
          </w:p>
        </w:tc>
      </w:tr>
      <w:tr>
        <w:trPr>
          <w:trHeight w:val="216"/>
        </w:trPr>
        <w:tc>
          <w:tcPr>
            <w:tcW w:w="12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307,068</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(101,223)</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205,845</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(335,366)</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(164,014)</w:t>
            </w: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(335,366)</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(164,014)</w:t>
            </w: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0.0096</w:t>
            </w:r>
          </w:p>
        </w:tc>
      </w:tr>
      <w:tr>
        <w:trPr>
          <w:trHeight w:val="216"/>
        </w:trPr>
        <w:tc>
          <w:tcPr>
            <w:tcW w:w="12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Weighted Average Number of Common Shares Outstanding:</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182,289,904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171,731,956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2"/>
        </w:trPr>
        <w:tc>
          <w:tcPr>
            <w:tcW w:w="12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center"/>
              <w:ind w:right="770"/>
              <w:spacing w:after="0"/>
              <w:rPr>
                <w:sz w:val="20"/>
                <w:szCs w:val="20"/>
                <w:color w:val="auto"/>
              </w:rPr>
            </w:pPr>
            <w:r>
              <w:rPr>
                <w:rFonts w:ascii="Times New Roman" w:cs="Times New Roman" w:eastAsia="Times New Roman" w:hAnsi="Times New Roman"/>
                <w:sz w:val="18"/>
                <w:szCs w:val="18"/>
                <w:color w:val="auto"/>
                <w:w w:val="95"/>
              </w:rPr>
              <w:t>F-3</w:t>
            </w: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Balance on January 01, 2023 </w:t>
      </w:r>
      <w:r>
        <w:rPr>
          <w:rFonts w:ascii="Times New Roman" w:cs="Times New Roman" w:eastAsia="Times New Roman" w:hAnsi="Times New Roman"/>
          <w:sz w:val="18"/>
          <w:szCs w:val="18"/>
          <w:color w:val="auto"/>
        </w:rPr>
        <w:t>Shares issued during the period Net Loss for the Year</w:t>
      </w: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284"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Balance as of January 1, 2024 </w:t>
      </w:r>
      <w:r>
        <w:rPr>
          <w:rFonts w:ascii="Times New Roman" w:cs="Times New Roman" w:eastAsia="Times New Roman" w:hAnsi="Times New Roman"/>
          <w:sz w:val="18"/>
          <w:szCs w:val="18"/>
          <w:color w:val="auto"/>
        </w:rPr>
        <w:t>Shares Issued during the Period Net Loss for the Year</w:t>
      </w: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p>
      <w:pPr>
        <w:spacing w:after="0" w:line="284"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Balance as of January 1, 2025 </w:t>
      </w:r>
      <w:r>
        <w:rPr>
          <w:rFonts w:ascii="Times New Roman" w:cs="Times New Roman" w:eastAsia="Times New Roman" w:hAnsi="Times New Roman"/>
          <w:sz w:val="18"/>
          <w:szCs w:val="18"/>
          <w:color w:val="auto"/>
        </w:rPr>
        <w:t>Shares Issued during the Period Net Loss for the Year</w:t>
      </w: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20"/>
        <w:spacing w:after="0" w:line="268" w:lineRule="auto"/>
        <w:rPr>
          <w:sz w:val="20"/>
          <w:szCs w:val="20"/>
          <w:color w:val="auto"/>
        </w:rPr>
      </w:pPr>
      <w:r>
        <w:rPr>
          <w:rFonts w:ascii="Times New Roman" w:cs="Times New Roman" w:eastAsia="Times New Roman" w:hAnsi="Times New Roman"/>
          <w:sz w:val="18"/>
          <w:szCs w:val="18"/>
          <w:b w:val="1"/>
          <w:bCs w:val="1"/>
          <w:color w:val="auto"/>
        </w:rPr>
        <w:t>SUPERSTAR PLATFORMS, INC Statement of Stockholder’s Equity For the Year Ended December 31, 2023 thru December 31, 2025</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20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540" w:type="dxa"/>
            <w:vAlign w:val="bottom"/>
            <w:gridSpan w:val="3"/>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20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Shares Amount</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Paid in Capital</w:t>
            </w:r>
          </w:p>
        </w:tc>
        <w:tc>
          <w:tcPr>
            <w:tcW w:w="200" w:type="dxa"/>
            <w:vAlign w:val="bottom"/>
          </w:tcPr>
          <w:p>
            <w:pPr>
              <w:spacing w:after="0"/>
              <w:rPr>
                <w:sz w:val="20"/>
                <w:szCs w:val="20"/>
                <w:color w:val="auto"/>
              </w:rPr>
            </w:pPr>
          </w:p>
        </w:tc>
        <w:tc>
          <w:tcPr>
            <w:tcW w:w="134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1600" w:type="dxa"/>
            <w:vAlign w:val="bottom"/>
            <w:tcBorders>
              <w:top w:val="single" w:sz="8" w:color="auto"/>
            </w:tcBorders>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132,731,956</w:t>
            </w:r>
          </w:p>
        </w:tc>
        <w:tc>
          <w:tcPr>
            <w:tcW w:w="600" w:type="dxa"/>
            <w:vAlign w:val="bottom"/>
            <w:tcBorders>
              <w:top w:val="single" w:sz="8" w:color="auto"/>
            </w:tcBorders>
          </w:tcPr>
          <w:p>
            <w:pPr>
              <w:jc w:val="right"/>
              <w:ind w:right="43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132,732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ind w:left="500"/>
              <w:spacing w:after="0" w:line="191" w:lineRule="exact"/>
              <w:rPr>
                <w:sz w:val="20"/>
                <w:szCs w:val="20"/>
                <w:color w:val="auto"/>
              </w:rPr>
            </w:pPr>
            <w:r>
              <w:rPr>
                <w:rFonts w:ascii="Times New Roman" w:cs="Times New Roman" w:eastAsia="Times New Roman" w:hAnsi="Times New Roman"/>
                <w:sz w:val="18"/>
                <w:szCs w:val="18"/>
                <w:color w:val="auto"/>
                <w:w w:val="95"/>
              </w:rPr>
              <w:t>287,268</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3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(1,211,994)</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(791,944)</w:t>
            </w:r>
          </w:p>
        </w:tc>
        <w:tc>
          <w:tcPr>
            <w:tcW w:w="60" w:type="dxa"/>
            <w:vAlign w:val="bottom"/>
            <w:gridSpan w:val="2"/>
          </w:tcPr>
          <w:p>
            <w:pPr>
              <w:spacing w:after="0"/>
              <w:rPr>
                <w:sz w:val="16"/>
                <w:szCs w:val="16"/>
                <w:color w:val="auto"/>
              </w:rPr>
            </w:pPr>
          </w:p>
        </w:tc>
      </w:tr>
      <w:tr>
        <w:trPr>
          <w:trHeight w:val="216"/>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22,000,000</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22,000</w:t>
            </w:r>
          </w:p>
        </w:tc>
      </w:tr>
      <w:tr>
        <w:trPr>
          <w:trHeight w:val="248"/>
        </w:trPr>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(123,660)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(123660)</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154,731,956</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5"/>
              </w:rPr>
              <w:t>287,268</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(1,335,654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(893,654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4"/>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154,731,956</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154,732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287,268</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(1,335,654)</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(893,654)</w:t>
            </w:r>
          </w:p>
        </w:tc>
      </w:tr>
      <w:tr>
        <w:trPr>
          <w:trHeight w:val="216"/>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17,000,000</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(16,952)</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r>
      <w:tr>
        <w:trPr>
          <w:trHeight w:val="248"/>
        </w:trPr>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(164,014)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(164,014)</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171,731,956</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5"/>
              </w:rPr>
              <w:t>270,316</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(1,499,668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(1,057,620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4"/>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171,731,956</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171,732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270,316</w:t>
            </w:r>
          </w:p>
        </w:tc>
        <w:tc>
          <w:tcPr>
            <w:tcW w:w="200" w:type="dxa"/>
            <w:vAlign w:val="bottom"/>
          </w:tcPr>
          <w:p>
            <w:pPr>
              <w:spacing w:after="0"/>
              <w:rPr>
                <w:sz w:val="24"/>
                <w:szCs w:val="24"/>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(1,499,668)</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(1,057,620)</w:t>
            </w:r>
          </w:p>
        </w:tc>
      </w:tr>
      <w:tr>
        <w:trPr>
          <w:trHeight w:val="216"/>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10,557,948</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86,252</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96,810</w:t>
            </w:r>
          </w:p>
        </w:tc>
      </w:tr>
      <w:tr>
        <w:trPr>
          <w:trHeight w:val="248"/>
        </w:trPr>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(335,366)</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(335,366)</w:t>
            </w:r>
          </w:p>
        </w:tc>
      </w:tr>
      <w:tr>
        <w:trPr>
          <w:trHeight w:val="223"/>
        </w:trPr>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182,289,904</w:t>
            </w:r>
          </w:p>
        </w:tc>
        <w:tc>
          <w:tcPr>
            <w:tcW w:w="360" w:type="dxa"/>
            <w:vAlign w:val="bottom"/>
          </w:tcPr>
          <w:p>
            <w:pPr>
              <w:spacing w:after="0"/>
              <w:rPr>
                <w:sz w:val="19"/>
                <w:szCs w:val="19"/>
                <w:color w:val="auto"/>
              </w:rPr>
            </w:pPr>
          </w:p>
        </w:tc>
        <w:tc>
          <w:tcPr>
            <w:tcW w:w="60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5"/>
              </w:rPr>
              <w:t>356,568</w:t>
            </w:r>
          </w:p>
        </w:tc>
        <w:tc>
          <w:tcPr>
            <w:tcW w:w="340" w:type="dxa"/>
            <w:vAlign w:val="bottom"/>
          </w:tcPr>
          <w:p>
            <w:pPr>
              <w:spacing w:after="0"/>
              <w:rPr>
                <w:sz w:val="19"/>
                <w:szCs w:val="19"/>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(1,835,034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(1,296,176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-2357120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-2073910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-1765300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-1473835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-1191260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-873760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-599440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560" w:space="620"/>
            <w:col w:w="8020"/>
          </w:cols>
          <w:pgMar w:left="320" w:top="229" w:right="3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 of Cash Flows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550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Superstar Platforms, Inc</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550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w w:val="99"/>
              </w:rPr>
              <w:t>Statement of Cash Flows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Years Ended December 31,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(335,366)</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(164,014)</w:t>
            </w:r>
          </w:p>
        </w:tc>
      </w:tr>
      <w:tr>
        <w:trPr>
          <w:trHeight w:val="216"/>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Allowance for Bad Debt</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77,617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307,674</w:t>
            </w: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Loan Receivable (L/R)</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(2,587,233)</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270,000</w:t>
            </w: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Receivable (L/R):Accrued Interest Receivable</w:t>
            </w:r>
          </w:p>
        </w:tc>
        <w:tc>
          <w:tcPr>
            <w:tcW w:w="13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(307,068)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Loans to officers</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to others</w:t>
            </w:r>
          </w:p>
        </w:tc>
        <w:tc>
          <w:tcPr>
            <w:tcW w:w="13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Notes Payable (N/P)</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2,584,670</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(270,000)</w:t>
            </w: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Payable (N/P):Interest Payable &amp; Other Payables</w:t>
            </w:r>
          </w:p>
        </w:tc>
        <w:tc>
          <w:tcPr>
            <w:tcW w:w="13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129,654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Payables</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Salaries Payable</w:t>
            </w:r>
          </w:p>
        </w:tc>
        <w:tc>
          <w:tcPr>
            <w:tcW w:w="13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336,000</w:t>
            </w:r>
          </w:p>
        </w:tc>
        <w:tc>
          <w:tcPr>
            <w:tcW w:w="132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w:t>
            </w:r>
          </w:p>
        </w:tc>
      </w:tr>
      <w:tr>
        <w:trPr>
          <w:trHeight w:val="210"/>
        </w:trPr>
        <w:tc>
          <w:tcPr>
            <w:tcW w:w="6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Adjustments to reconcile Net Income to Net Cash provided by operations:</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239,640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437,674</w:t>
            </w:r>
          </w:p>
        </w:tc>
        <w:tc>
          <w:tcPr>
            <w:tcW w:w="100" w:type="dxa"/>
            <w:vAlign w:val="bottom"/>
            <w:tcBorders>
              <w:bottom w:val="single" w:sz="8" w:color="CCEEFF"/>
            </w:tcBorders>
          </w:tcPr>
          <w:p>
            <w:pPr>
              <w:spacing w:after="0"/>
              <w:rPr>
                <w:sz w:val="18"/>
                <w:szCs w:val="18"/>
                <w:color w:val="auto"/>
              </w:rPr>
            </w:pPr>
          </w:p>
        </w:tc>
      </w:tr>
      <w:tr>
        <w:trPr>
          <w:trHeight w:val="209"/>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273,659</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(794,821)</w:t>
            </w:r>
          </w:p>
        </w:tc>
      </w:tr>
      <w:tr>
        <w:trPr>
          <w:trHeight w:val="216"/>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3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86,252</w:t>
            </w:r>
          </w:p>
        </w:tc>
        <w:tc>
          <w:tcPr>
            <w:tcW w:w="132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349,478</w:t>
            </w:r>
          </w:p>
        </w:tc>
      </w:tr>
      <w:tr>
        <w:trPr>
          <w:trHeight w:val="216"/>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10,558</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171,732</w:t>
            </w:r>
          </w:p>
        </w:tc>
      </w:tr>
      <w:tr>
        <w:trPr>
          <w:trHeight w:val="210"/>
        </w:trPr>
        <w:tc>
          <w:tcPr>
            <w:tcW w:w="6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(273,611)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INCREASE FOR PERIOD</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CEEFF"/>
            </w:tcBorders>
          </w:tcPr>
          <w:p>
            <w:pPr>
              <w:spacing w:after="0"/>
              <w:rPr>
                <w:sz w:val="18"/>
                <w:szCs w:val="18"/>
                <w:color w:val="auto"/>
              </w:rPr>
            </w:pPr>
          </w:p>
        </w:tc>
      </w:tr>
      <w:tr>
        <w:trPr>
          <w:trHeight w:val="210"/>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8"/>
                <w:szCs w:val="18"/>
                <w:color w:val="auto"/>
              </w:rPr>
            </w:pPr>
          </w:p>
        </w:tc>
      </w:tr>
      <w:tr>
        <w:trPr>
          <w:trHeight w:val="232"/>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200" w:type="dxa"/>
            <w:vAlign w:val="bottom"/>
          </w:tcPr>
          <w:p>
            <w:pPr>
              <w:spacing w:after="0"/>
              <w:rPr>
                <w:sz w:val="20"/>
                <w:szCs w:val="20"/>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0"/>
                <w:szCs w:val="20"/>
                <w:color w:val="auto"/>
              </w:rPr>
            </w:pPr>
          </w:p>
        </w:tc>
      </w:tr>
      <w:tr>
        <w:trPr>
          <w:trHeight w:val="410"/>
        </w:trPr>
        <w:tc>
          <w:tcPr>
            <w:tcW w:w="128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jc w:val="center"/>
              <w:ind w:left="3090"/>
              <w:spacing w:after="0"/>
              <w:rPr>
                <w:sz w:val="20"/>
                <w:szCs w:val="20"/>
                <w:color w:val="auto"/>
              </w:rPr>
            </w:pPr>
            <w:r>
              <w:rPr>
                <w:rFonts w:ascii="Times New Roman" w:cs="Times New Roman" w:eastAsia="Times New Roman" w:hAnsi="Times New Roman"/>
                <w:sz w:val="18"/>
                <w:szCs w:val="18"/>
                <w:color w:val="auto"/>
                <w:w w:val="95"/>
              </w:rPr>
              <w:t>F-5</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Audited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Superstar Platforms, Inc. (“Superstar Platforms,” the “Company,” “we,” “us,” or “our”) was incorporated on March 27, 2025, under the laws of the State of Nevada. The Company is a technology-focused holding company that seeks to build, acquire, and scale businesses across multiple industries through strategic acquisitions and technology-driven platforms.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Superstar Platforms operates as the parent company of a diversified portfolio of subsidiaries and strategic initiatives. The Company’s business strategy is centered on identifying and acquiring businesses that can benefit from centralized capital resources, operational support, and technology infrastructure. Through this model, the Company intends to provide strategic capital, management expertise, and technological innovation designed to support the growth and development of its subsidiaries and operating platforms.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key component of the Company’s strategy is the development of technology-enabled marketplaces and financial services platforms capable of generating scalable and recurring revenue streams. One of the Company’s primary initiatives is the development of PawnTrust, a digital marketplace designed to connect pawn shops and consumers through a mobile-based platform. PawnTrust is intended to enable pawn shops to digitize their inventory and facilitate borrowing, buying, and bartering transactions through an integrated online marketplace. Management believes that the PawnTrust platform has the potential to modernize and expand access to the pawn industry by providing a technology-driven solution for inventory management and consumer transactions.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its technology development initiatives, the Company currently generates revenue primarily through interest income earned on promissory notes issued to both related and unrelated parties. These lending activities are intended to support strategic relationships, provide working capital to affiliated and third-party businesses, and generate recurring interest income.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long-term objective is to build a diversified technology and investment platform that combines strategic capital deployment, technology innovation, and disciplined acquisition strategy to create scalable operating businesses and long-term shareholder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principal executive office is located in Marietta, Georgia.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as of December 31, 2025 have been prepared using generally accepted accounting principles in the United States of America applicable to a going concern, which contemplates the realization of assets and liquidation of liabilities in the normal course of business. The Company has accumulated deficit of $(1,835,034) as of December 31, 2025, the company currently does not have a business operation, these factors raise substantial doubt about company ‘ability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and related notes are presented in accordance with accounting principles generally accepted in the United States of America (“GAAP”) and are expressed in US dollars. The Company’s fiscal year-end is December 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various accounting standards and interpretations issued recently, none of which are expected to have a material impact on our financial position,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limited level of operations, the Company has not had to make material assumptions or estimates other than the assumption that the Company is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the statement of cash flows, the Company considers all highly liquid instruments purchased with an original maturity of three months or less to be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receivable represent promissory notes issued to both related and non-related parties. These loans bear fixed interest rates and generally require monthly interest payments with principal due at maturity. Loans are recorded at the principal amount outstanding, net of any allowance for credit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expected credit losses in accordance with ASC 326 – Financial Instruments – Credit Losses (CECL). Management evaluates the collectability of loans receivable and records an allowance for expected credit losses based on factors including borrower credit quality, loan concentration, economic conditions, and historical repayment experience. As of December 31, 2025, the Company recorded an allowance for credit losses equal to approximately 3% of outstanding loan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accounts for leases under ASC 842, Leases. The Company has elected the short-term lease exemption for leases with a term of twelve months or less. Under this election, right-of-use assets and lease liabilities are not recognized on the balance sheet.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an entity to maximize the use of observable inputs and minimize the use of unobservable inputs when measuring fair value. It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It prioritizes the inputs into three levels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accounts receivable, short-term investments, accounts payable and note payable. The respective carrying values of these financial instruments approximate their fair values. Fair value estimates discussed herein are based upon certain market assumptions and pertinent information available to management as of December 31, 2025. Fair values were assumed to approximate carrying values for these financial instruments as either they do not have any active market or are short term in nature and therefore their carrying amounts approximate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determined in accordance with the provisions of ASC 740, “Income Taxes”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period ended December 31, 2025, the Company did not have any interest and penalties associated with tax positions. As of December 31, 2025, the Company did not have any significant unrecognized uncertain tax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ASC 440 &amp;ASC 450, subtopic 450-20 of the FASB Accounting Standards Codification to report accounting for contingencies and commitments respectively. 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guarantees would be disclosed. Management does not believe, based upon information available at this time, that these matters will have a material adverse effect on the Company’s financial position, results of operations or cash flows. However, there is no assurance that such matters will not materially and adversely affect the Company’s business, financial position, and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 work in progress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incurred during the development of a website are initially recognized as work in progress (WIP) and classified as an intangible asset on the balance sheet. Only costs directly attributable to the website development phase are capitalized. These include salaries and wages for employees directly involved, payments to external developers or consultants, software or tools specifically purchased for the project, and material hosting or domain costs incurred during the development phase. Costs not meeting the criteria for capitalization, such as research expenses, general administrative costs, and ongoing maintenance or upgrades after the website becomes operational, are expensed as incurred.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website remains classified as a work in progress until it is fully developed and ready for its intended use. Once completed, the accumulated costs are transferred to intangible assets and amortized over its estimated useful life, typically ranging from 3 to 5 years, using a straight-line method. The costs capitalized as WIP are reviewed periodically to ensure they are directly related to the development phase.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Work in progress is tested for impairment annually or whenever circumstances indicate that the carrying amount may not be recoverable. Any impairment losses identified are recognized in the income statement. Upon completion of the website, its amortization begins, reflecting the consumption of the asset’s benefits over its useful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when earned at the fair value of the consideration received or receivable.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is recognized upon loaning the money to the customer and is accrued on a monthly basis at the rate of 2% simple interest on the loan amount receivable from the customer.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from other investment activities is generated through various short-term alternative investment activities as seem profitable to the management and income from such activities is recognized when earned.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place is a digital platform for buyers and sellers. The platform’s primary performance obligation is to facilitate transactions by providing a marketplace for buyers and sellers. This includes enabling the listing of goods/services, facilitating payment processing, and providing customer support. Income is recognized on a net basis, representing only the fee or commission earned, when the platform satisfies its performance obligation by successfully facilitating the transaction. This generally occurs when the buyer’s payment is processed and the platform’s role in the transaction is complete.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common stock outstanding of 182,289,904 as of December 31, 2025 and record of holders was 204.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–LOAN RECEIVABLE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receivable represent funds advanced by the Company pursuant to executed promissory notes. The loans accrue interest monthly, are interest only, unsecured and all mature December 31, 2026. As of December 31, 2025, all loans were current.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Total Loans Receivable: </w:t>
      </w:r>
      <w:r>
        <w:rPr>
          <w:rFonts w:ascii="Times New Roman" w:cs="Times New Roman" w:eastAsia="Times New Roman" w:hAnsi="Times New Roman"/>
          <w:sz w:val="18"/>
          <w:szCs w:val="18"/>
          <w:b w:val="1"/>
          <w:bCs w:val="1"/>
          <w:color w:val="auto"/>
        </w:rPr>
        <w:t>$2,587,233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–ALLOWANCE FOR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expected credit losses in accordance with ASC 326 – Financial Instruments – Credit Losses (CECL). Management evaluates the collectability of loans receivable and records an allowance for expected credit losses based on factors including borrower credit quality, loan concentration, economic conditions, and historical repayment experience. As of December 31, 2025, the Company recorded an allowance for credit losses equal to approximately 3% of outstanding loan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Allowance for Credit loss-$77,617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–CREDIT QUALITY INDICATORS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monitors borrower credit quality through payment history, borrower financial condition and compliance with loan terms. As of December 31,2025 all loans were performing.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NONACCRUAL AND PAST DUE LOANS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places loans on nonaccrual status when collection is uncertain. As of December 31, 2025 no loans were past due, impaired or on nonaccrual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NOTES PAYABLE, INTEREST PAYABLE &amp; OTHER PAYABLES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payable represent borrowings incurred by the Company to finance acquisitions, support working capital, and fund ongoing operations. These notes bear fixed interest rates and have specified maturity dates in accordance with the underlying agreements. As of December 31, 2025, total notes payable amounted to $2,674,670.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payable represents the accrued interest on outstanding notes payable and is recognized as an expense in the Company’s statement of operations.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payables consist of accrued fee expenses, including a success fee that is contingent upon the closing of a potential acquisition. This fee is amortized over the term of the related notes payable, with initial recognition recorded as fee expense in the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loans receivable and notes payable involve entities affiliated with the Company’s Chief Executive Officer. These transactions are conducted pursuant to written promissory notes and formal lending agreements that specify principal amounts, interest rates, repayment terms, and other customary provisions.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same underwriting standards, credit evaluation procedures, and approval processes to related-party transactions as it does to loans issued to unrelated third parties. Management evaluates borrower creditworthiness, repayment capacity, and other relevant risk factors prior to extending credit.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rates, repayment terms, and other contractual provisions associated with these related-party transactions are consistent with the Company’s general lending practices and are believed to be comparable to terms that would be obtained in similar transactions with unaffiliated borrowers. Management believes these transactions were entered into on commercially reasonable terms and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Related Party Receivables- $1,638,233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Related Party Payables-$482,644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research and development expenses related to the development of the PawnTrust digital marketplace.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INTELLECTUAL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developing proprietary intellectual property associated with the PawnTrust marketplace.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office space located in Marietta, Georgia. The lease term is twelve months, with monthly rent of $500, resulting in annual lease payments of approximately $6,000. The Company has elected the short-term lease exemption under ASC 842, and therefore does not recognize right-of-use assets or lease liabilities for this lease. Rent expense is recognized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REPORTING (ASC 280)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as one reportable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other subsequent events till the date these financial statements were issued and has determined that there are no items to disclose.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15-Exhibits and Financial Statement Schedules</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of the Company and notes thereto and the Report of Independent Registered Public Accounting Firm are contained in Item 8 — Financial Statements and Supplementary Data of this Form 10-K, which is incorporated herein by reference.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00" w:type="dxa"/>
            <w:vAlign w:val="bottom"/>
            <w:shd w:val="clear" w:color="auto" w:fill="CCEEFF"/>
          </w:tcPr>
          <w:p>
            <w:pPr>
              <w:spacing w:after="0"/>
              <w:rPr>
                <w:sz w:val="19"/>
                <w:szCs w:val="19"/>
                <w:color w:val="auto"/>
              </w:rPr>
            </w:pPr>
          </w:p>
        </w:tc>
        <w:tc>
          <w:tcPr>
            <w:tcW w:w="7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1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F-1</w:t>
            </w:r>
          </w:p>
        </w:tc>
      </w:tr>
      <w:tr>
        <w:trPr>
          <w:trHeight w:val="175"/>
        </w:trPr>
        <w:tc>
          <w:tcPr>
            <w:tcW w:w="1300" w:type="dxa"/>
            <w:vAlign w:val="bottom"/>
            <w:tcBorders>
              <w:top w:val="single" w:sz="8" w:color="CCEEFF"/>
            </w:tcBorders>
          </w:tcPr>
          <w:p>
            <w:pPr>
              <w:spacing w:after="0"/>
              <w:rPr>
                <w:sz w:val="15"/>
                <w:szCs w:val="15"/>
                <w:color w:val="auto"/>
              </w:rPr>
            </w:pPr>
          </w:p>
        </w:tc>
        <w:tc>
          <w:tcPr>
            <w:tcW w:w="422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2025 and 2024</w:t>
            </w:r>
          </w:p>
        </w:tc>
        <w:tc>
          <w:tcPr>
            <w:tcW w:w="3540" w:type="dxa"/>
            <w:vAlign w:val="bottom"/>
            <w:tcBorders>
              <w:top w:val="single" w:sz="8" w:color="CCEEFF"/>
            </w:tcBorders>
            <w:gridSpan w:val="4"/>
          </w:tcPr>
          <w:p>
            <w:pPr>
              <w:spacing w:after="0"/>
              <w:rPr>
                <w:sz w:val="15"/>
                <w:szCs w:val="15"/>
                <w:color w:val="auto"/>
              </w:rPr>
            </w:pPr>
          </w:p>
        </w:tc>
        <w:tc>
          <w:tcPr>
            <w:tcW w:w="2180" w:type="dxa"/>
            <w:vAlign w:val="bottom"/>
            <w:tcBorders>
              <w:top w:val="single" w:sz="8" w:color="CCEEFF"/>
            </w:tcBorders>
          </w:tcPr>
          <w:p>
            <w:pPr>
              <w:ind w:left="174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130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shd w:val="clear" w:color="auto" w:fill="CCEEFF"/>
          </w:tcPr>
          <w:p>
            <w:pPr>
              <w:spacing w:after="0"/>
              <w:rPr>
                <w:sz w:val="17"/>
                <w:szCs w:val="17"/>
                <w:color w:val="auto"/>
              </w:rPr>
            </w:pPr>
          </w:p>
        </w:tc>
        <w:tc>
          <w:tcPr>
            <w:tcW w:w="54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Operations for the years ended December 31, 2025,and 2024</w:t>
            </w:r>
          </w:p>
        </w:tc>
        <w:tc>
          <w:tcPr>
            <w:tcW w:w="2340" w:type="dxa"/>
            <w:vAlign w:val="bottom"/>
            <w:tcBorders>
              <w:bottom w:val="single" w:sz="8" w:color="CCEEFF"/>
            </w:tcBorders>
            <w:gridSpan w:val="3"/>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ind w:left="174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75"/>
        </w:trPr>
        <w:tc>
          <w:tcPr>
            <w:tcW w:w="1300" w:type="dxa"/>
            <w:vAlign w:val="bottom"/>
          </w:tcPr>
          <w:p>
            <w:pPr>
              <w:spacing w:after="0"/>
              <w:rPr>
                <w:sz w:val="15"/>
                <w:szCs w:val="15"/>
                <w:color w:val="auto"/>
              </w:rPr>
            </w:pPr>
          </w:p>
        </w:tc>
        <w:tc>
          <w:tcPr>
            <w:tcW w:w="77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Statements of Shareholder Equity for the years ended December 31, 2025 and 2024</w:t>
            </w:r>
          </w:p>
        </w:tc>
        <w:tc>
          <w:tcPr>
            <w:tcW w:w="2180" w:type="dxa"/>
            <w:vAlign w:val="bottom"/>
          </w:tcPr>
          <w:p>
            <w:pPr>
              <w:ind w:left="174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130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300" w:type="dxa"/>
            <w:vAlign w:val="bottom"/>
            <w:shd w:val="clear" w:color="auto" w:fill="CCEEFF"/>
          </w:tcPr>
          <w:p>
            <w:pPr>
              <w:spacing w:after="0"/>
              <w:rPr>
                <w:sz w:val="17"/>
                <w:szCs w:val="17"/>
                <w:color w:val="auto"/>
              </w:rPr>
            </w:pPr>
          </w:p>
        </w:tc>
        <w:tc>
          <w:tcPr>
            <w:tcW w:w="77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2025 and 2024</w:t>
            </w:r>
          </w:p>
        </w:tc>
        <w:tc>
          <w:tcPr>
            <w:tcW w:w="2180" w:type="dxa"/>
            <w:vAlign w:val="bottom"/>
            <w:shd w:val="clear" w:color="auto" w:fill="CCEEFF"/>
          </w:tcPr>
          <w:p>
            <w:pPr>
              <w:ind w:left="174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6"/>
        </w:trPr>
        <w:tc>
          <w:tcPr>
            <w:tcW w:w="1300" w:type="dxa"/>
            <w:vAlign w:val="bottom"/>
            <w:tcBorders>
              <w:top w:val="single" w:sz="8" w:color="CCEEFF"/>
            </w:tcBorders>
          </w:tcPr>
          <w:p>
            <w:pPr>
              <w:spacing w:after="0"/>
              <w:rPr>
                <w:sz w:val="15"/>
                <w:szCs w:val="15"/>
                <w:color w:val="auto"/>
              </w:rPr>
            </w:pPr>
          </w:p>
        </w:tc>
        <w:tc>
          <w:tcPr>
            <w:tcW w:w="216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Financial Statements</w:t>
            </w:r>
          </w:p>
        </w:tc>
        <w:tc>
          <w:tcPr>
            <w:tcW w:w="3300" w:type="dxa"/>
            <w:vAlign w:val="bottom"/>
            <w:tcBorders>
              <w:top w:val="single" w:sz="8" w:color="0000EE"/>
            </w:tcBorders>
            <w:gridSpan w:val="4"/>
          </w:tcPr>
          <w:p>
            <w:pPr>
              <w:spacing w:after="0"/>
              <w:rPr>
                <w:sz w:val="15"/>
                <w:szCs w:val="15"/>
                <w:color w:val="auto"/>
              </w:rPr>
            </w:pPr>
          </w:p>
        </w:tc>
        <w:tc>
          <w:tcPr>
            <w:tcW w:w="2300" w:type="dxa"/>
            <w:vAlign w:val="bottom"/>
            <w:tcBorders>
              <w:top w:val="single" w:sz="8" w:color="CCEEFF"/>
            </w:tcBorders>
            <w:gridSpan w:val="2"/>
          </w:tcPr>
          <w:p>
            <w:pPr>
              <w:spacing w:after="0"/>
              <w:rPr>
                <w:sz w:val="15"/>
                <w:szCs w:val="15"/>
                <w:color w:val="auto"/>
              </w:rPr>
            </w:pPr>
          </w:p>
        </w:tc>
        <w:tc>
          <w:tcPr>
            <w:tcW w:w="2180" w:type="dxa"/>
            <w:vAlign w:val="bottom"/>
            <w:tcBorders>
              <w:top w:val="single" w:sz="8" w:color="CCEEFF"/>
            </w:tcBorders>
          </w:tcPr>
          <w:p>
            <w:pPr>
              <w:ind w:left="1740"/>
              <w:spacing w:after="0" w:line="176" w:lineRule="exact"/>
              <w:rPr>
                <w:sz w:val="20"/>
                <w:szCs w:val="20"/>
                <w:color w:val="auto"/>
              </w:rPr>
            </w:pPr>
            <w:r>
              <w:rPr>
                <w:rFonts w:ascii="Times New Roman" w:cs="Times New Roman" w:eastAsia="Times New Roman" w:hAnsi="Times New Roman"/>
                <w:sz w:val="18"/>
                <w:szCs w:val="18"/>
                <w:color w:val="auto"/>
              </w:rPr>
              <w:t>F-6</w:t>
            </w:r>
          </w:p>
        </w:tc>
      </w:tr>
    </w:tbl>
    <w:p>
      <w:pPr>
        <w:spacing w:after="0" w:line="225" w:lineRule="exact"/>
        <w:rPr>
          <w:sz w:val="20"/>
          <w:szCs w:val="20"/>
          <w:color w:val="auto"/>
        </w:rPr>
      </w:pPr>
    </w:p>
    <w:p>
      <w:pPr>
        <w:ind w:left="130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they are not applicable or are not required or the information required to be set forth therein is included in the consolidated financial statements or notes thereto.</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filed in response to Item 601 of Regulation S-K are listed in the Exhibit Index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4"/>
          </w:tcPr>
          <w:p>
            <w:pPr>
              <w:ind w:left="3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7180" w:type="dxa"/>
            <w:vAlign w:val="bottom"/>
            <w:tcBorders>
              <w:top w:val="single" w:sz="8" w:color="auto"/>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of the Securities Exchange Act.</w:t>
            </w:r>
          </w:p>
        </w:tc>
        <w:tc>
          <w:tcPr>
            <w:tcW w:w="2960" w:type="dxa"/>
            <w:vAlign w:val="bottom"/>
            <w:tcBorders>
              <w:top w:val="single" w:sz="8" w:color="auto"/>
            </w:tcBorders>
            <w:gridSpan w:val="2"/>
          </w:tcPr>
          <w:p>
            <w:pPr>
              <w:spacing w:after="0"/>
              <w:rPr>
                <w:sz w:val="15"/>
                <w:szCs w:val="15"/>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of the Securities Exchange Act.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540" w:type="dxa"/>
            <w:vAlign w:val="bottom"/>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95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of 2002</w:t>
            </w:r>
          </w:p>
        </w:tc>
        <w:tc>
          <w:tcPr>
            <w:tcW w:w="956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gridSpan w:val="3"/>
          </w:tcPr>
          <w:p>
            <w:pPr>
              <w:ind w:left="448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7, 2026</w:t>
      </w:r>
    </w:p>
    <w:p>
      <w:pPr>
        <w:spacing w:after="0" w:line="2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this report has been signed below by the following persons on May 7, 2026 on behalf of the registrant and in the capacities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55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FARR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Michael Farr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FARR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Michael Farr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CHRISTINA FARR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Christina Farr</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4" w:name="page25"/>
    <w:bookmarkEnd w:id="24"/>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SUPERSTAR PLATFORMS, INC. EXECUTIVE OFFICER’S CERTIFICATE PURSUANT TO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Farr,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10-K/A of Superstar Platforms,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which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SUPERSTAR PLATFORMS, INC. FINANCIAL OFFICER’S CERTIFICATE PURSUANT TO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Farr.,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10-K/A of Superstar Platforms,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66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which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ind w:left="340" w:right="2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Superstar Platforms, Inc. (the Registrant) on Form 10-K/A for the year ended December 31, 2025, as filed with the Securities and Exchange Commission on the date hereof (the Report), I, Michael Farr., Principal Accounting Officer of the Company, certify, pursuant to 18 U.S.C. §1350, as adopted pursuant to Section 906 of the Sarbanes-Oxley Act of 2002,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Michael Farr. and will be retained by Superstar Platforms, Inc.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ind w:left="340" w:right="140"/>
        <w:spacing w:after="0" w:line="282" w:lineRule="auto"/>
        <w:rPr>
          <w:sz w:val="20"/>
          <w:szCs w:val="20"/>
          <w:color w:val="auto"/>
        </w:rPr>
      </w:pPr>
      <w:r>
        <w:rPr>
          <w:rFonts w:ascii="Times New Roman" w:cs="Times New Roman" w:eastAsia="Times New Roman" w:hAnsi="Times New Roman"/>
          <w:sz w:val="18"/>
          <w:szCs w:val="18"/>
          <w:color w:val="auto"/>
        </w:rPr>
        <w:t>SUPERSTAR PLATFROMS, INC.CERTIFICATION PURSUANT TO 18 U.S.C. SECTION 1350,AS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Superstar Platforms, Inc. (the Registrant) on Form 10-K/A for the year ended December 31, 2025, as filed with the Securities and Exchange Commission on the date hereof (the Report), I, Michael Farr., Principal Accounting Officer of the Company, certify, pursuant to 18 U.S.C. §1350, as adopted pursuant to Section 906 of the Sarbanes-Oxley Act of 2002, that:</w:t>
      </w:r>
    </w:p>
    <w:p>
      <w:pPr>
        <w:spacing w:after="0" w:line="203" w:lineRule="exact"/>
        <w:rPr>
          <w:sz w:val="20"/>
          <w:szCs w:val="20"/>
          <w:color w:val="auto"/>
        </w:rPr>
      </w:pPr>
    </w:p>
    <w:p>
      <w:pPr>
        <w:ind w:left="380" w:hanging="345"/>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Michael Farr and will be retained by Superstar Platforms, Inc.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lowerRoman"/>
      <w:start w:val="1"/>
    </w:lvl>
  </w:abstractNum>
  <w:abstractNum w:abstractNumId="2">
    <w:nsid w:val="507ED7AB"/>
    <w:multiLevelType w:val="hybridMultilevel"/>
    <w:lvl w:ilvl="0">
      <w:lvlJc w:val="left"/>
      <w:lvlText w:val="%1."/>
      <w:numFmt w:val="lowerLetter"/>
      <w:start w:val="1"/>
    </w:lvl>
    <w:lvl w:ilvl="1">
      <w:lvlJc w:val="left"/>
      <w:lvlText w:val="%2."/>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4"/>
      <w:numFmt w:val="bullet"/>
      <w:start w:val="1"/>
    </w:lvl>
    <w:lvl w:ilvl="1">
      <w:lvlJc w:val="left"/>
      <w:lvlText w:val="%2."/>
      <w:numFmt w:val="lowerLetter"/>
      <w:start w:val="1"/>
    </w:lvl>
  </w:abstractNum>
  <w:abstractNum w:abstractNumId="7">
    <w:nsid w:val="515F007C"/>
    <w:multiLevelType w:val="hybridMultilevel"/>
    <w:lvl w:ilvl="0">
      <w:lvlJc w:val="left"/>
      <w:lvlText w:val="%1."/>
      <w:numFmt w:val="decimal"/>
      <w:start w:val="5"/>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2026-05-07T14:27:23Z</dcterms:created>
  <dcterms:modified xsi:type="dcterms:W3CDTF">2026-05-07T14:27:23Z</dcterms:modified>
</cp:coreProperties>
</file>